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2E2" w:rsidRPr="003D45CA" w:rsidRDefault="003D45CA" w:rsidP="003D45CA">
      <w:pPr>
        <w:jc w:val="center"/>
        <w:rPr>
          <w:b/>
          <w:sz w:val="24"/>
          <w:szCs w:val="24"/>
        </w:rPr>
      </w:pPr>
      <w:r w:rsidRPr="003D45CA">
        <w:rPr>
          <w:b/>
          <w:sz w:val="24"/>
          <w:szCs w:val="24"/>
        </w:rPr>
        <w:t>Person-</w:t>
      </w:r>
      <w:proofErr w:type="spellStart"/>
      <w:r w:rsidRPr="003D45CA">
        <w:rPr>
          <w:b/>
          <w:sz w:val="24"/>
          <w:szCs w:val="24"/>
        </w:rPr>
        <w:t>Centered</w:t>
      </w:r>
      <w:proofErr w:type="spellEnd"/>
      <w:r w:rsidRPr="003D45CA">
        <w:rPr>
          <w:b/>
          <w:sz w:val="24"/>
          <w:szCs w:val="24"/>
        </w:rPr>
        <w:t xml:space="preserve"> Care – Indicative Activities</w:t>
      </w:r>
    </w:p>
    <w:p w:rsidR="003D45CA" w:rsidRDefault="003D45CA">
      <w:r>
        <w:t>Please note this is not an exhaustive list of activity.  Providers are expected to carry out duties beyond those listed where identified as required.</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2549"/>
        <w:gridCol w:w="4616"/>
      </w:tblGrid>
      <w:tr w:rsidR="003D45CA" w:rsidRPr="003D45CA" w:rsidTr="00792CEA">
        <w:trPr>
          <w:cantSplit/>
          <w:trHeight w:val="323"/>
          <w:tblHeader/>
        </w:trPr>
        <w:tc>
          <w:tcPr>
            <w:tcW w:w="1704" w:type="dxa"/>
            <w:tcBorders>
              <w:top w:val="single" w:sz="12" w:space="0" w:color="auto"/>
              <w:left w:val="single" w:sz="12" w:space="0" w:color="auto"/>
              <w:bottom w:val="single" w:sz="12" w:space="0" w:color="auto"/>
              <w:right w:val="single" w:sz="4" w:space="0" w:color="FFFFFF" w:themeColor="background1"/>
            </w:tcBorders>
            <w:shd w:val="clear" w:color="auto" w:fill="002060"/>
            <w:vAlign w:val="center"/>
            <w:hideMark/>
          </w:tcPr>
          <w:p w:rsidR="003D45CA" w:rsidRPr="003D45CA" w:rsidRDefault="003D45CA" w:rsidP="003D45CA">
            <w:pPr>
              <w:spacing w:after="200" w:line="240" w:lineRule="auto"/>
              <w:jc w:val="center"/>
              <w:rPr>
                <w:rFonts w:ascii="Arial" w:eastAsiaTheme="minorEastAsia" w:hAnsi="Arial" w:cs="Arial"/>
                <w:b/>
                <w:bCs/>
                <w:color w:val="FFFFFF" w:themeColor="background1"/>
                <w:sz w:val="20"/>
                <w:szCs w:val="20"/>
                <w:lang w:eastAsia="ja-JP"/>
              </w:rPr>
            </w:pPr>
            <w:r w:rsidRPr="003D45CA">
              <w:rPr>
                <w:rFonts w:ascii="Arial" w:eastAsiaTheme="minorEastAsia" w:hAnsi="Arial" w:cs="Arial"/>
                <w:b/>
                <w:bCs/>
                <w:color w:val="FFFFFF" w:themeColor="background1"/>
                <w:sz w:val="20"/>
                <w:szCs w:val="20"/>
                <w:lang w:eastAsia="ja-JP"/>
              </w:rPr>
              <w:t>Need</w:t>
            </w:r>
          </w:p>
        </w:tc>
        <w:tc>
          <w:tcPr>
            <w:tcW w:w="2549"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2060"/>
            <w:vAlign w:val="center"/>
            <w:hideMark/>
          </w:tcPr>
          <w:p w:rsidR="003D45CA" w:rsidRPr="003D45CA" w:rsidRDefault="003D45CA" w:rsidP="003D45CA">
            <w:pPr>
              <w:spacing w:after="200" w:line="240" w:lineRule="auto"/>
              <w:jc w:val="center"/>
              <w:rPr>
                <w:rFonts w:ascii="Arial" w:eastAsiaTheme="minorEastAsia" w:hAnsi="Arial" w:cs="Arial"/>
                <w:b/>
                <w:bCs/>
                <w:color w:val="FFFFFF" w:themeColor="background1"/>
                <w:sz w:val="20"/>
                <w:szCs w:val="20"/>
                <w:lang w:eastAsia="ja-JP"/>
              </w:rPr>
            </w:pPr>
            <w:r w:rsidRPr="003D45CA">
              <w:rPr>
                <w:rFonts w:ascii="Arial" w:eastAsiaTheme="minorEastAsia" w:hAnsi="Arial" w:cs="Arial"/>
                <w:b/>
                <w:bCs/>
                <w:color w:val="FFFFFF" w:themeColor="background1"/>
                <w:sz w:val="20"/>
                <w:szCs w:val="20"/>
                <w:lang w:eastAsia="ja-JP"/>
              </w:rPr>
              <w:t>Outcomes</w:t>
            </w:r>
          </w:p>
        </w:tc>
        <w:tc>
          <w:tcPr>
            <w:tcW w:w="4616" w:type="dxa"/>
            <w:tcBorders>
              <w:top w:val="single" w:sz="12" w:space="0" w:color="auto"/>
              <w:left w:val="single" w:sz="4" w:space="0" w:color="FFFFFF" w:themeColor="background1"/>
              <w:bottom w:val="single" w:sz="12" w:space="0" w:color="auto"/>
              <w:right w:val="single" w:sz="12" w:space="0" w:color="auto"/>
            </w:tcBorders>
            <w:shd w:val="clear" w:color="auto" w:fill="002060"/>
            <w:vAlign w:val="center"/>
            <w:hideMark/>
          </w:tcPr>
          <w:p w:rsidR="003D45CA" w:rsidRPr="003D45CA" w:rsidRDefault="003D45CA" w:rsidP="003D45CA">
            <w:pPr>
              <w:spacing w:after="200" w:line="240" w:lineRule="auto"/>
              <w:jc w:val="center"/>
              <w:rPr>
                <w:rFonts w:ascii="Arial" w:eastAsiaTheme="minorEastAsia" w:hAnsi="Arial" w:cs="Arial"/>
                <w:b/>
                <w:bCs/>
                <w:color w:val="FFFFFF" w:themeColor="background1"/>
                <w:sz w:val="20"/>
                <w:szCs w:val="20"/>
                <w:lang w:eastAsia="ja-JP"/>
              </w:rPr>
            </w:pPr>
            <w:r w:rsidRPr="003D45CA">
              <w:rPr>
                <w:rFonts w:ascii="Arial" w:eastAsiaTheme="minorEastAsia" w:hAnsi="Arial" w:cs="Arial"/>
                <w:b/>
                <w:bCs/>
                <w:color w:val="FFFFFF" w:themeColor="background1"/>
                <w:sz w:val="20"/>
                <w:szCs w:val="20"/>
                <w:lang w:eastAsia="ja-JP"/>
              </w:rPr>
              <w:t>Indicative Activity</w:t>
            </w:r>
          </w:p>
        </w:tc>
      </w:tr>
      <w:tr w:rsidR="003D45CA" w:rsidRPr="003D45CA" w:rsidTr="00792CEA">
        <w:trPr>
          <w:cantSplit/>
          <w:trHeight w:val="724"/>
        </w:trPr>
        <w:tc>
          <w:tcPr>
            <w:tcW w:w="1704"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200" w:line="240" w:lineRule="auto"/>
              <w:jc w:val="center"/>
              <w:rPr>
                <w:rFonts w:ascii="Arial" w:eastAsiaTheme="minorEastAsia" w:hAnsi="Arial" w:cs="Arial"/>
                <w:sz w:val="20"/>
                <w:szCs w:val="20"/>
                <w:lang w:eastAsia="ja-JP"/>
              </w:rPr>
            </w:pPr>
            <w:r w:rsidRPr="003D45CA">
              <w:rPr>
                <w:rFonts w:ascii="Arial" w:eastAsiaTheme="minorEastAsia" w:hAnsi="Arial" w:cs="Arial"/>
                <w:sz w:val="20"/>
                <w:szCs w:val="20"/>
                <w:lang w:eastAsia="ja-JP"/>
              </w:rPr>
              <w:t>Behaviour</w:t>
            </w:r>
          </w:p>
        </w:tc>
        <w:tc>
          <w:tcPr>
            <w:tcW w:w="2549" w:type="dxa"/>
            <w:vMerge w:val="restart"/>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Service User understands the boundaries of the setting they are in</w:t>
            </w: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There are clear, predictable consequences when Service User broaches established boundaries</w:t>
            </w: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Patients are supported to reach the best of their potential through strong behaviour recovery models</w:t>
            </w: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Individual behavioural plans are in place and implemented through an accredited methodology</w:t>
            </w:r>
          </w:p>
        </w:tc>
        <w:tc>
          <w:tcPr>
            <w:tcW w:w="4616"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a strategic prevention approach to behaviour deterioration</w:t>
            </w:r>
          </w:p>
        </w:tc>
      </w:tr>
      <w:tr w:rsidR="003D45CA" w:rsidRPr="003D45CA" w:rsidTr="00792CEA">
        <w:trPr>
          <w:cantSplit/>
          <w:trHeight w:val="724"/>
        </w:trPr>
        <w:tc>
          <w:tcPr>
            <w:tcW w:w="1704"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 xml:space="preserve">Establish communication points and reporting lines to ensure expectations of both Service User and carer are clear </w:t>
            </w:r>
          </w:p>
        </w:tc>
      </w:tr>
      <w:tr w:rsidR="003D45CA" w:rsidRPr="003D45CA" w:rsidTr="00792CEA">
        <w:trPr>
          <w:cantSplit/>
          <w:trHeight w:val="724"/>
        </w:trPr>
        <w:tc>
          <w:tcPr>
            <w:tcW w:w="1704"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care plans and records accurately prompt best care progress</w:t>
            </w:r>
          </w:p>
        </w:tc>
      </w:tr>
      <w:tr w:rsidR="003D45CA" w:rsidRPr="003D45CA" w:rsidTr="00792CEA">
        <w:trPr>
          <w:cantSplit/>
          <w:trHeight w:val="724"/>
        </w:trPr>
        <w:tc>
          <w:tcPr>
            <w:tcW w:w="1704"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Implement and review the behavioural plan and risk assessments</w:t>
            </w:r>
          </w:p>
        </w:tc>
      </w:tr>
      <w:tr w:rsidR="003D45CA" w:rsidRPr="003D45CA" w:rsidTr="00792CEA">
        <w:trPr>
          <w:cantSplit/>
          <w:trHeight w:val="724"/>
        </w:trPr>
        <w:tc>
          <w:tcPr>
            <w:tcW w:w="1704"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care is provided in the least restrictive way with regard to the Mental Capacity Act and Deprivation of Liberty Safeguards 2005</w:t>
            </w:r>
          </w:p>
        </w:tc>
      </w:tr>
      <w:tr w:rsidR="003D45CA" w:rsidRPr="003D45CA" w:rsidTr="00792CEA">
        <w:trPr>
          <w:cantSplit/>
          <w:trHeight w:val="355"/>
        </w:trPr>
        <w:tc>
          <w:tcPr>
            <w:tcW w:w="1704" w:type="dxa"/>
            <w:vMerge w:val="restart"/>
            <w:tcBorders>
              <w:top w:val="single" w:sz="12" w:space="0" w:color="auto"/>
              <w:left w:val="single" w:sz="12" w:space="0" w:color="auto"/>
              <w:right w:val="single" w:sz="4" w:space="0" w:color="auto"/>
            </w:tcBorders>
            <w:vAlign w:val="center"/>
            <w:hideMark/>
          </w:tcPr>
          <w:p w:rsidR="003D45CA" w:rsidRPr="003D45CA" w:rsidRDefault="003D45CA" w:rsidP="003D45CA">
            <w:pPr>
              <w:spacing w:after="200" w:line="240" w:lineRule="auto"/>
              <w:jc w:val="center"/>
              <w:rPr>
                <w:rFonts w:ascii="Arial" w:eastAsiaTheme="minorEastAsia" w:hAnsi="Arial" w:cs="Arial"/>
                <w:sz w:val="20"/>
                <w:szCs w:val="20"/>
                <w:lang w:eastAsia="ja-JP"/>
              </w:rPr>
            </w:pPr>
            <w:r w:rsidRPr="003D45CA">
              <w:rPr>
                <w:rFonts w:ascii="Arial" w:eastAsiaTheme="minorEastAsia" w:hAnsi="Arial" w:cs="Arial"/>
                <w:sz w:val="20"/>
                <w:szCs w:val="20"/>
                <w:lang w:eastAsia="ja-JP"/>
              </w:rPr>
              <w:t>Cognition</w:t>
            </w:r>
          </w:p>
        </w:tc>
        <w:tc>
          <w:tcPr>
            <w:tcW w:w="2549" w:type="dxa"/>
            <w:vMerge w:val="restart"/>
            <w:tcBorders>
              <w:top w:val="single" w:sz="12" w:space="0" w:color="auto"/>
              <w:left w:val="single" w:sz="4" w:space="0" w:color="auto"/>
              <w:right w:val="single" w:sz="4"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Patients cognitive capability is maximised</w:t>
            </w:r>
          </w:p>
        </w:tc>
        <w:tc>
          <w:tcPr>
            <w:tcW w:w="4616"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an assessment of cognition and mental capacity is completed on admission. Monitor and review as appropriate</w:t>
            </w:r>
          </w:p>
        </w:tc>
      </w:tr>
      <w:tr w:rsidR="003D45CA" w:rsidRPr="003D45CA" w:rsidTr="00792CEA">
        <w:trPr>
          <w:cantSplit/>
          <w:trHeight w:val="355"/>
        </w:trPr>
        <w:tc>
          <w:tcPr>
            <w:tcW w:w="1704"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staff provide orienting communication</w:t>
            </w:r>
          </w:p>
        </w:tc>
      </w:tr>
      <w:tr w:rsidR="003D45CA" w:rsidRPr="003D45CA" w:rsidTr="00792CEA">
        <w:trPr>
          <w:cantSplit/>
          <w:trHeight w:val="355"/>
        </w:trPr>
        <w:tc>
          <w:tcPr>
            <w:tcW w:w="1704"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Service User has access to a clock and calendar (TV / radio if possible)</w:t>
            </w:r>
          </w:p>
        </w:tc>
      </w:tr>
      <w:tr w:rsidR="003D45CA" w:rsidRPr="003D45CA" w:rsidTr="00792CEA">
        <w:trPr>
          <w:cantSplit/>
          <w:trHeight w:val="355"/>
        </w:trPr>
        <w:tc>
          <w:tcPr>
            <w:tcW w:w="1704"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Encourage Service User’s representative(s) to visit and bring in Service User’s personal possessions, e.g. photographs</w:t>
            </w:r>
          </w:p>
        </w:tc>
      </w:tr>
      <w:tr w:rsidR="003D45CA" w:rsidRPr="003D45CA" w:rsidTr="00792CEA">
        <w:trPr>
          <w:cantSplit/>
          <w:trHeight w:val="355"/>
        </w:trPr>
        <w:tc>
          <w:tcPr>
            <w:tcW w:w="1704"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the communications strategy for individual Patients incorporate elements of both reality orientation and validation techniques</w:t>
            </w:r>
          </w:p>
        </w:tc>
      </w:tr>
      <w:tr w:rsidR="003D45CA" w:rsidRPr="003D45CA" w:rsidTr="00792CEA">
        <w:trPr>
          <w:cantSplit/>
          <w:trHeight w:val="355"/>
        </w:trPr>
        <w:tc>
          <w:tcPr>
            <w:tcW w:w="1704"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orienting information is provided as appropriate e.g. name and role of staff member at each encounter</w:t>
            </w:r>
          </w:p>
        </w:tc>
      </w:tr>
      <w:tr w:rsidR="003D45CA" w:rsidRPr="003D45CA" w:rsidTr="00792CEA">
        <w:trPr>
          <w:cantSplit/>
          <w:trHeight w:val="893"/>
        </w:trPr>
        <w:tc>
          <w:tcPr>
            <w:tcW w:w="1704"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the Service User’s individual activity programme is tailored to meet the Service User’s needs and prevents isolation</w:t>
            </w:r>
          </w:p>
        </w:tc>
      </w:tr>
      <w:tr w:rsidR="003D45CA" w:rsidRPr="003D45CA" w:rsidTr="00792CEA">
        <w:trPr>
          <w:cantSplit/>
          <w:trHeight w:val="411"/>
        </w:trPr>
        <w:tc>
          <w:tcPr>
            <w:tcW w:w="1704"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49"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 xml:space="preserve">Ensure home lighting is appropriate to the time of day/ night. </w:t>
            </w:r>
          </w:p>
        </w:tc>
      </w:tr>
      <w:tr w:rsidR="003D45CA" w:rsidRPr="003D45CA" w:rsidTr="00792CEA">
        <w:trPr>
          <w:cantSplit/>
          <w:trHeight w:val="411"/>
        </w:trPr>
        <w:tc>
          <w:tcPr>
            <w:tcW w:w="1704" w:type="dxa"/>
            <w:vMerge/>
            <w:tcBorders>
              <w:left w:val="single" w:sz="12" w:space="0" w:color="auto"/>
              <w:right w:val="single" w:sz="4" w:space="0" w:color="auto"/>
            </w:tcBorders>
            <w:vAlign w:val="center"/>
          </w:tcPr>
          <w:p w:rsidR="003D45CA" w:rsidRPr="003D45CA" w:rsidRDefault="003D45CA" w:rsidP="003D45CA">
            <w:pPr>
              <w:spacing w:after="200" w:line="240" w:lineRule="auto"/>
              <w:jc w:val="center"/>
              <w:rPr>
                <w:rFonts w:ascii="Arial" w:eastAsiaTheme="minorEastAsia" w:hAnsi="Arial" w:cs="Arial"/>
                <w:sz w:val="20"/>
                <w:szCs w:val="20"/>
                <w:lang w:eastAsia="ja-JP"/>
              </w:rPr>
            </w:pPr>
          </w:p>
        </w:tc>
        <w:tc>
          <w:tcPr>
            <w:tcW w:w="2549" w:type="dxa"/>
            <w:vMerge/>
            <w:tcBorders>
              <w:left w:val="single" w:sz="4" w:space="0" w:color="auto"/>
              <w:right w:val="single" w:sz="4" w:space="0" w:color="auto"/>
            </w:tcBorders>
            <w:vAlign w:val="center"/>
          </w:tcPr>
          <w:p w:rsidR="003D45CA" w:rsidRPr="003D45CA" w:rsidRDefault="003D45CA" w:rsidP="003D45CA">
            <w:pPr>
              <w:spacing w:after="0" w:line="240" w:lineRule="auto"/>
              <w:ind w:left="252"/>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 xml:space="preserve">Best interest decisions are made and documented in line with the Mental Capacity Act. </w:t>
            </w:r>
          </w:p>
        </w:tc>
      </w:tr>
      <w:tr w:rsidR="003D45CA" w:rsidRPr="003D45CA" w:rsidTr="00792CEA">
        <w:trPr>
          <w:cantSplit/>
          <w:trHeight w:val="411"/>
        </w:trPr>
        <w:tc>
          <w:tcPr>
            <w:tcW w:w="1704" w:type="dxa"/>
            <w:vMerge/>
            <w:tcBorders>
              <w:left w:val="single" w:sz="12" w:space="0" w:color="auto"/>
              <w:bottom w:val="single" w:sz="12" w:space="0" w:color="auto"/>
              <w:right w:val="single" w:sz="4" w:space="0" w:color="auto"/>
            </w:tcBorders>
            <w:vAlign w:val="center"/>
          </w:tcPr>
          <w:p w:rsidR="003D45CA" w:rsidRPr="003D45CA" w:rsidRDefault="003D45CA" w:rsidP="003D45CA">
            <w:pPr>
              <w:spacing w:after="200" w:line="240" w:lineRule="auto"/>
              <w:jc w:val="center"/>
              <w:rPr>
                <w:rFonts w:ascii="Arial" w:eastAsiaTheme="minorEastAsia" w:hAnsi="Arial" w:cs="Arial"/>
                <w:sz w:val="20"/>
                <w:szCs w:val="20"/>
                <w:lang w:eastAsia="ja-JP"/>
              </w:rPr>
            </w:pPr>
          </w:p>
        </w:tc>
        <w:tc>
          <w:tcPr>
            <w:tcW w:w="2549" w:type="dxa"/>
            <w:vMerge/>
            <w:tcBorders>
              <w:left w:val="single" w:sz="4" w:space="0" w:color="auto"/>
              <w:bottom w:val="single" w:sz="12" w:space="0" w:color="auto"/>
              <w:right w:val="single" w:sz="4" w:space="0" w:color="auto"/>
            </w:tcBorders>
            <w:vAlign w:val="center"/>
          </w:tcPr>
          <w:p w:rsidR="003D45CA" w:rsidRPr="003D45CA" w:rsidRDefault="003D45CA" w:rsidP="003D45CA">
            <w:pPr>
              <w:spacing w:after="0" w:line="240" w:lineRule="auto"/>
              <w:ind w:left="252"/>
              <w:rPr>
                <w:rFonts w:ascii="Arial" w:eastAsiaTheme="minorEastAsia" w:hAnsi="Arial" w:cs="Arial"/>
                <w:sz w:val="20"/>
                <w:szCs w:val="20"/>
                <w:lang w:eastAsia="ja-JP"/>
              </w:rPr>
            </w:pPr>
          </w:p>
        </w:tc>
        <w:tc>
          <w:tcPr>
            <w:tcW w:w="4616"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179"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Informed consent is acquired and recorded as appropriate.</w:t>
            </w:r>
          </w:p>
        </w:tc>
      </w:tr>
    </w:tbl>
    <w:tbl>
      <w:tblPr>
        <w:tblpPr w:leftFromText="180" w:rightFromText="180" w:bottomFromText="200" w:vertAnchor="text" w:horzAnchor="margin" w:tblpY="4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2552"/>
        <w:gridCol w:w="4650"/>
      </w:tblGrid>
      <w:tr w:rsidR="003D45CA" w:rsidRPr="003D45CA" w:rsidTr="00792CEA">
        <w:trPr>
          <w:cantSplit/>
          <w:trHeight w:val="355"/>
        </w:trPr>
        <w:tc>
          <w:tcPr>
            <w:tcW w:w="1686"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200" w:line="240" w:lineRule="auto"/>
              <w:jc w:val="center"/>
              <w:rPr>
                <w:rFonts w:ascii="Arial" w:eastAsiaTheme="minorEastAsia" w:hAnsi="Arial" w:cs="Arial"/>
                <w:sz w:val="20"/>
                <w:szCs w:val="20"/>
                <w:lang w:eastAsia="ja-JP"/>
              </w:rPr>
            </w:pPr>
            <w:r w:rsidRPr="003D45CA">
              <w:rPr>
                <w:rFonts w:ascii="Arial" w:eastAsiaTheme="minorEastAsia" w:hAnsi="Arial" w:cs="Arial"/>
                <w:sz w:val="20"/>
                <w:szCs w:val="20"/>
                <w:lang w:eastAsia="ja-JP"/>
              </w:rPr>
              <w:t>Emotional &amp; Social Needs</w:t>
            </w:r>
          </w:p>
        </w:tc>
        <w:tc>
          <w:tcPr>
            <w:tcW w:w="2552" w:type="dxa"/>
            <w:vMerge w:val="restart"/>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Patients are engaged in meaningful activities as appropriate</w:t>
            </w: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Service User maintains a sense of self and is able to optimise and meet his/her potential</w:t>
            </w: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Rights to expression of sexuality are upheld</w:t>
            </w: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There is Service User opportunity for meaningful occupation and engagement</w:t>
            </w:r>
          </w:p>
        </w:tc>
        <w:tc>
          <w:tcPr>
            <w:tcW w:w="4650"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Provide links to social facilities and arrangements</w:t>
            </w:r>
          </w:p>
        </w:tc>
      </w:tr>
      <w:tr w:rsidR="003D45CA" w:rsidRPr="003D45CA" w:rsidTr="00792CEA">
        <w:trPr>
          <w:cantSplit/>
          <w:trHeight w:val="356"/>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Provision of an appropriate activities plan and equipment to support activities</w:t>
            </w:r>
          </w:p>
        </w:tc>
      </w:tr>
      <w:tr w:rsidR="003D45CA" w:rsidRPr="003D45CA" w:rsidTr="00792CEA">
        <w:trPr>
          <w:cantSplit/>
          <w:trHeight w:val="355"/>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Actively consult Patients as part of personal activity planning</w:t>
            </w:r>
          </w:p>
        </w:tc>
      </w:tr>
      <w:tr w:rsidR="003D45CA" w:rsidRPr="003D45CA" w:rsidTr="00792CEA">
        <w:trPr>
          <w:cantSplit/>
          <w:trHeight w:val="356"/>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Regularly review Service User engagement in activities and provide additional support to facilitate Service User involvement as required</w:t>
            </w:r>
          </w:p>
        </w:tc>
      </w:tr>
      <w:tr w:rsidR="003D45CA" w:rsidRPr="003D45CA" w:rsidTr="00792CEA">
        <w:trPr>
          <w:cantSplit/>
          <w:trHeight w:val="355"/>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Support Service User with life changing events as required</w:t>
            </w:r>
          </w:p>
        </w:tc>
      </w:tr>
      <w:tr w:rsidR="003D45CA" w:rsidRPr="003D45CA" w:rsidTr="00792CEA">
        <w:trPr>
          <w:cantSplit/>
          <w:trHeight w:val="356"/>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staff have the skills to recognise depression and its effects on behaviour and refer to GP</w:t>
            </w:r>
          </w:p>
        </w:tc>
      </w:tr>
      <w:tr w:rsidR="003D45CA" w:rsidRPr="003D45CA" w:rsidTr="00792CEA">
        <w:trPr>
          <w:cantSplit/>
          <w:trHeight w:val="356"/>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Support and promote Patients existing and new relationships, including partners, families and friends</w:t>
            </w:r>
          </w:p>
        </w:tc>
      </w:tr>
      <w:tr w:rsidR="003D45CA" w:rsidRPr="003D45CA" w:rsidTr="00792CEA">
        <w:trPr>
          <w:cantSplit/>
          <w:trHeight w:val="356"/>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Support shopping / purchases as required, e.g. family gifts, clothes</w:t>
            </w:r>
          </w:p>
        </w:tc>
      </w:tr>
      <w:tr w:rsidR="003D45CA" w:rsidRPr="003D45CA" w:rsidTr="00792CEA">
        <w:trPr>
          <w:cantSplit/>
          <w:trHeight w:val="355"/>
        </w:trPr>
        <w:tc>
          <w:tcPr>
            <w:tcW w:w="1686"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200" w:line="240" w:lineRule="auto"/>
              <w:jc w:val="center"/>
              <w:rPr>
                <w:rFonts w:ascii="Arial" w:eastAsiaTheme="minorEastAsia" w:hAnsi="Arial" w:cs="Arial"/>
                <w:sz w:val="20"/>
                <w:szCs w:val="20"/>
                <w:lang w:eastAsia="ja-JP"/>
              </w:rPr>
            </w:pPr>
            <w:r w:rsidRPr="003D45CA">
              <w:rPr>
                <w:rFonts w:ascii="Arial" w:eastAsiaTheme="minorEastAsia" w:hAnsi="Arial" w:cs="Arial"/>
                <w:sz w:val="20"/>
                <w:szCs w:val="20"/>
                <w:lang w:eastAsia="ja-JP"/>
              </w:rPr>
              <w:t>Communication</w:t>
            </w:r>
          </w:p>
        </w:tc>
        <w:tc>
          <w:tcPr>
            <w:tcW w:w="2552" w:type="dxa"/>
            <w:vMerge w:val="restart"/>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Service User has the opportunity to express needs and choices through their preferred or an appropriate method</w:t>
            </w: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Optimisation of verbal and non-verbal communication skills</w:t>
            </w:r>
          </w:p>
        </w:tc>
        <w:tc>
          <w:tcPr>
            <w:tcW w:w="4650"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a communication assessment is completed on admission. Monitor and review as appropriate</w:t>
            </w:r>
          </w:p>
        </w:tc>
      </w:tr>
      <w:tr w:rsidR="003D45CA" w:rsidRPr="003D45CA" w:rsidTr="00792CEA">
        <w:trPr>
          <w:cantSplit/>
          <w:trHeight w:val="356"/>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staff have communication skills relevant to meeting Service User needs</w:t>
            </w:r>
          </w:p>
        </w:tc>
      </w:tr>
      <w:tr w:rsidR="003D45CA" w:rsidRPr="003D45CA" w:rsidTr="00792CEA">
        <w:trPr>
          <w:cantSplit/>
          <w:trHeight w:val="355"/>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information is provided to Patients in the appropriate format</w:t>
            </w:r>
          </w:p>
        </w:tc>
      </w:tr>
      <w:tr w:rsidR="003D45CA" w:rsidRPr="003D45CA" w:rsidTr="00792CEA">
        <w:trPr>
          <w:cantSplit/>
          <w:trHeight w:val="356"/>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staff are able to respond to verbal and non-verbal cues and make best use of relevant communication aids</w:t>
            </w:r>
          </w:p>
        </w:tc>
      </w:tr>
      <w:tr w:rsidR="003D45CA" w:rsidRPr="003D45CA" w:rsidTr="00792CEA">
        <w:trPr>
          <w:cantSplit/>
          <w:trHeight w:val="355"/>
        </w:trPr>
        <w:tc>
          <w:tcPr>
            <w:tcW w:w="1686"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200" w:line="240" w:lineRule="auto"/>
              <w:ind w:left="72"/>
              <w:jc w:val="center"/>
              <w:rPr>
                <w:rFonts w:ascii="Arial" w:eastAsiaTheme="minorEastAsia" w:hAnsi="Arial" w:cs="Arial"/>
                <w:sz w:val="20"/>
                <w:szCs w:val="20"/>
                <w:lang w:eastAsia="ja-JP"/>
              </w:rPr>
            </w:pPr>
            <w:r w:rsidRPr="003D45CA">
              <w:rPr>
                <w:rFonts w:ascii="Arial" w:eastAsiaTheme="minorEastAsia" w:hAnsi="Arial" w:cs="Arial"/>
                <w:sz w:val="20"/>
                <w:szCs w:val="20"/>
                <w:lang w:eastAsia="ja-JP"/>
              </w:rPr>
              <w:t>Mobility</w:t>
            </w:r>
          </w:p>
        </w:tc>
        <w:tc>
          <w:tcPr>
            <w:tcW w:w="2552" w:type="dxa"/>
            <w:vMerge w:val="restart"/>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Mobility is maximised at a level which is appropriate relative to the ability of the Service User</w:t>
            </w:r>
          </w:p>
        </w:tc>
        <w:tc>
          <w:tcPr>
            <w:tcW w:w="4650"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a mobility assessment (including a falls risk assessment) is completed on admission. Monitor and review as appropriate</w:t>
            </w:r>
          </w:p>
        </w:tc>
      </w:tr>
      <w:tr w:rsidR="003D45CA" w:rsidRPr="003D45CA" w:rsidTr="00792CEA">
        <w:trPr>
          <w:cantSplit/>
          <w:trHeight w:val="355"/>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6" w:space="0" w:color="C0C0C0"/>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Implement fall prevention strategies as appropriate</w:t>
            </w:r>
          </w:p>
        </w:tc>
      </w:tr>
      <w:tr w:rsidR="003D45CA" w:rsidRPr="003D45CA" w:rsidTr="00792CEA">
        <w:trPr>
          <w:cantSplit/>
          <w:trHeight w:val="355"/>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6" w:space="0" w:color="C0C0C0"/>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Manage Service User mobility within the environment</w:t>
            </w:r>
          </w:p>
        </w:tc>
      </w:tr>
      <w:tr w:rsidR="003D45CA" w:rsidRPr="003D45CA" w:rsidTr="00792CEA">
        <w:trPr>
          <w:cantSplit/>
          <w:trHeight w:val="355"/>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Enable safe Service User moving and Provider handling provision</w:t>
            </w:r>
          </w:p>
        </w:tc>
      </w:tr>
      <w:tr w:rsidR="003D45CA" w:rsidRPr="003D45CA" w:rsidTr="00792CEA">
        <w:trPr>
          <w:cantSplit/>
          <w:trHeight w:val="355"/>
        </w:trPr>
        <w:tc>
          <w:tcPr>
            <w:tcW w:w="1686"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Provide, maintain and replace where necessary a range of suitable equipment</w:t>
            </w:r>
          </w:p>
        </w:tc>
      </w:tr>
      <w:tr w:rsidR="003D45CA" w:rsidRPr="003D45CA" w:rsidTr="00792CEA">
        <w:trPr>
          <w:cantSplit/>
          <w:trHeight w:val="355"/>
        </w:trPr>
        <w:tc>
          <w:tcPr>
            <w:tcW w:w="1686" w:type="dxa"/>
            <w:vMerge w:val="restart"/>
            <w:tcBorders>
              <w:top w:val="single" w:sz="12" w:space="0" w:color="auto"/>
              <w:left w:val="single" w:sz="12" w:space="0" w:color="auto"/>
              <w:right w:val="single" w:sz="4" w:space="0" w:color="auto"/>
            </w:tcBorders>
            <w:vAlign w:val="center"/>
            <w:hideMark/>
          </w:tcPr>
          <w:p w:rsidR="003D45CA" w:rsidRPr="003D45CA" w:rsidRDefault="003D45CA" w:rsidP="003D45CA">
            <w:pPr>
              <w:spacing w:after="200" w:line="240" w:lineRule="auto"/>
              <w:jc w:val="center"/>
              <w:rPr>
                <w:rFonts w:ascii="Arial" w:eastAsiaTheme="minorEastAsia" w:hAnsi="Arial" w:cs="Arial"/>
                <w:sz w:val="20"/>
                <w:szCs w:val="20"/>
                <w:lang w:eastAsia="ja-JP"/>
              </w:rPr>
            </w:pPr>
          </w:p>
          <w:p w:rsidR="003D45CA" w:rsidRPr="003D45CA" w:rsidRDefault="003D45CA" w:rsidP="003D45CA">
            <w:pPr>
              <w:spacing w:after="200" w:line="240" w:lineRule="auto"/>
              <w:jc w:val="center"/>
              <w:rPr>
                <w:rFonts w:ascii="Arial" w:eastAsiaTheme="minorEastAsia" w:hAnsi="Arial" w:cs="Arial"/>
                <w:sz w:val="20"/>
                <w:szCs w:val="20"/>
                <w:lang w:eastAsia="ja-JP"/>
              </w:rPr>
            </w:pPr>
            <w:r w:rsidRPr="003D45CA">
              <w:rPr>
                <w:rFonts w:ascii="Arial" w:eastAsiaTheme="minorEastAsia" w:hAnsi="Arial" w:cs="Arial"/>
                <w:sz w:val="20"/>
                <w:szCs w:val="20"/>
                <w:lang w:eastAsia="ja-JP"/>
              </w:rPr>
              <w:t>Nutrition – food &amp; drink</w:t>
            </w:r>
          </w:p>
        </w:tc>
        <w:tc>
          <w:tcPr>
            <w:tcW w:w="2552" w:type="dxa"/>
            <w:vMerge w:val="restart"/>
            <w:tcBorders>
              <w:top w:val="single" w:sz="12" w:space="0" w:color="auto"/>
              <w:left w:val="single" w:sz="4" w:space="0" w:color="auto"/>
              <w:right w:val="single" w:sz="4" w:space="0" w:color="auto"/>
            </w:tcBorders>
            <w:vAlign w:val="center"/>
            <w:hideMark/>
          </w:tcPr>
          <w:p w:rsidR="003D45CA" w:rsidRPr="003D45CA" w:rsidRDefault="003D45CA" w:rsidP="003D45CA">
            <w:pPr>
              <w:spacing w:after="0" w:line="240" w:lineRule="auto"/>
              <w:ind w:left="252"/>
              <w:rPr>
                <w:rFonts w:ascii="Arial" w:eastAsiaTheme="minorEastAsia" w:hAnsi="Arial" w:cs="Arial"/>
                <w:sz w:val="20"/>
                <w:szCs w:val="20"/>
                <w:lang w:eastAsia="ja-JP"/>
              </w:rPr>
            </w:pPr>
          </w:p>
          <w:p w:rsidR="003D45CA" w:rsidRPr="003D45CA" w:rsidRDefault="003D45CA" w:rsidP="003D45CA">
            <w:pPr>
              <w:spacing w:after="0" w:line="240" w:lineRule="auto"/>
              <w:ind w:left="252"/>
              <w:rPr>
                <w:rFonts w:ascii="Arial" w:eastAsiaTheme="minorEastAsia" w:hAnsi="Arial" w:cs="Arial"/>
                <w:sz w:val="20"/>
                <w:szCs w:val="20"/>
                <w:lang w:eastAsia="ja-JP"/>
              </w:rPr>
            </w:pP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Service User enabled to maintain a balanced and nutritious diet</w:t>
            </w:r>
          </w:p>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Service User is enabled to maximise their own potential to feed themselves (i.e. not assisted solely in order to save time)</w:t>
            </w:r>
          </w:p>
        </w:tc>
        <w:tc>
          <w:tcPr>
            <w:tcW w:w="4650"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an assessment of nutritional needs is completed on admission. Monitor and review as appropriate</w:t>
            </w:r>
          </w:p>
        </w:tc>
      </w:tr>
      <w:tr w:rsidR="003D45CA" w:rsidRPr="003D45CA" w:rsidTr="00792CEA">
        <w:trPr>
          <w:cantSplit/>
          <w:trHeight w:val="355"/>
        </w:trPr>
        <w:tc>
          <w:tcPr>
            <w:tcW w:w="1686"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Educate the Service User to promote the selection of informed nutritional choices</w:t>
            </w:r>
          </w:p>
        </w:tc>
      </w:tr>
      <w:tr w:rsidR="003D45CA" w:rsidRPr="003D45CA" w:rsidTr="00792CEA">
        <w:trPr>
          <w:cantSplit/>
          <w:trHeight w:val="355"/>
        </w:trPr>
        <w:tc>
          <w:tcPr>
            <w:tcW w:w="1686"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Monitor Service User weight loss/ gain and seek GP/ dietician advice when change occurs</w:t>
            </w:r>
          </w:p>
        </w:tc>
      </w:tr>
      <w:tr w:rsidR="003D45CA" w:rsidRPr="003D45CA" w:rsidTr="00792CEA">
        <w:trPr>
          <w:cantSplit/>
          <w:trHeight w:val="355"/>
        </w:trPr>
        <w:tc>
          <w:tcPr>
            <w:tcW w:w="1686"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Utilise a MUST tool to measure nutrition</w:t>
            </w:r>
          </w:p>
        </w:tc>
      </w:tr>
      <w:tr w:rsidR="003D45CA" w:rsidRPr="003D45CA" w:rsidTr="00792CEA">
        <w:trPr>
          <w:cantSplit/>
          <w:trHeight w:val="355"/>
        </w:trPr>
        <w:tc>
          <w:tcPr>
            <w:tcW w:w="1686"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Manage the use of PEG feeds as appropriate</w:t>
            </w:r>
          </w:p>
        </w:tc>
      </w:tr>
      <w:tr w:rsidR="003D45CA" w:rsidRPr="003D45CA" w:rsidTr="00792CEA">
        <w:trPr>
          <w:cantSplit/>
          <w:trHeight w:val="355"/>
        </w:trPr>
        <w:tc>
          <w:tcPr>
            <w:tcW w:w="1686"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that food/drink is available at flexible times and locations and is in accordance with Service User preferences</w:t>
            </w:r>
          </w:p>
        </w:tc>
      </w:tr>
      <w:tr w:rsidR="003D45CA" w:rsidRPr="003D45CA" w:rsidTr="00792CEA">
        <w:trPr>
          <w:cantSplit/>
          <w:trHeight w:val="355"/>
        </w:trPr>
        <w:tc>
          <w:tcPr>
            <w:tcW w:w="1686"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Allow Service User to influence the menu where reasonable and possible</w:t>
            </w:r>
          </w:p>
        </w:tc>
      </w:tr>
      <w:tr w:rsidR="003D45CA" w:rsidRPr="003D45CA" w:rsidTr="00792CEA">
        <w:trPr>
          <w:cantSplit/>
          <w:trHeight w:val="355"/>
        </w:trPr>
        <w:tc>
          <w:tcPr>
            <w:tcW w:w="1686" w:type="dxa"/>
            <w:vMerge/>
            <w:tcBorders>
              <w:left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552" w:type="dxa"/>
            <w:vMerge/>
            <w:tcBorders>
              <w:left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Ensure appropriate supervision and assistance as necessary</w:t>
            </w:r>
          </w:p>
        </w:tc>
      </w:tr>
      <w:tr w:rsidR="003D45CA" w:rsidRPr="003D45CA" w:rsidTr="00792CEA">
        <w:trPr>
          <w:cantSplit/>
          <w:trHeight w:val="355"/>
        </w:trPr>
        <w:tc>
          <w:tcPr>
            <w:tcW w:w="1686" w:type="dxa"/>
            <w:vMerge/>
            <w:tcBorders>
              <w:left w:val="single" w:sz="12" w:space="0" w:color="auto"/>
              <w:bottom w:val="single" w:sz="12" w:space="0" w:color="auto"/>
              <w:right w:val="single" w:sz="4" w:space="0" w:color="auto"/>
            </w:tcBorders>
            <w:vAlign w:val="center"/>
          </w:tcPr>
          <w:p w:rsidR="003D45CA" w:rsidRPr="003D45CA" w:rsidRDefault="003D45CA" w:rsidP="003D45CA">
            <w:pPr>
              <w:spacing w:after="200" w:line="240" w:lineRule="auto"/>
              <w:ind w:left="72"/>
              <w:jc w:val="center"/>
              <w:rPr>
                <w:rFonts w:ascii="Arial" w:eastAsiaTheme="minorEastAsia" w:hAnsi="Arial" w:cs="Arial"/>
                <w:sz w:val="20"/>
                <w:szCs w:val="20"/>
                <w:lang w:eastAsia="ja-JP"/>
              </w:rPr>
            </w:pPr>
          </w:p>
        </w:tc>
        <w:tc>
          <w:tcPr>
            <w:tcW w:w="2552" w:type="dxa"/>
            <w:vMerge/>
            <w:tcBorders>
              <w:left w:val="single" w:sz="4" w:space="0" w:color="auto"/>
              <w:bottom w:val="single" w:sz="12" w:space="0" w:color="auto"/>
              <w:right w:val="single" w:sz="4" w:space="0" w:color="auto"/>
            </w:tcBorders>
            <w:vAlign w:val="center"/>
          </w:tcPr>
          <w:p w:rsidR="003D45CA" w:rsidRPr="003D45CA" w:rsidRDefault="003D45CA" w:rsidP="003D45CA">
            <w:pPr>
              <w:spacing w:after="0" w:line="240" w:lineRule="auto"/>
              <w:rPr>
                <w:rFonts w:ascii="Arial" w:eastAsiaTheme="minorEastAsia" w:hAnsi="Arial" w:cs="Arial"/>
                <w:sz w:val="20"/>
                <w:szCs w:val="20"/>
                <w:lang w:eastAsia="ja-JP"/>
              </w:rPr>
            </w:pPr>
          </w:p>
        </w:tc>
        <w:tc>
          <w:tcPr>
            <w:tcW w:w="4650"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ja-JP"/>
              </w:rPr>
            </w:pPr>
            <w:r w:rsidRPr="003D45CA">
              <w:rPr>
                <w:rFonts w:ascii="Arial" w:eastAsiaTheme="minorEastAsia" w:hAnsi="Arial" w:cs="Arial"/>
                <w:sz w:val="20"/>
                <w:szCs w:val="20"/>
                <w:lang w:eastAsia="ja-JP"/>
              </w:rPr>
              <w:t>Assess to manage/review any SALT issues and refer for specialist assessment as required.</w:t>
            </w:r>
          </w:p>
        </w:tc>
      </w:tr>
    </w:tbl>
    <w:tbl>
      <w:tblPr>
        <w:tblStyle w:val="TableGrid"/>
        <w:tblW w:w="0" w:type="auto"/>
        <w:tblLayout w:type="fixed"/>
        <w:tblLook w:val="04A0" w:firstRow="1" w:lastRow="0" w:firstColumn="1" w:lastColumn="0" w:noHBand="0" w:noVBand="1"/>
      </w:tblPr>
      <w:tblGrid>
        <w:gridCol w:w="1578"/>
        <w:gridCol w:w="2694"/>
        <w:gridCol w:w="4616"/>
      </w:tblGrid>
      <w:tr w:rsidR="003D45CA" w:rsidRPr="003D45CA" w:rsidTr="00792CEA">
        <w:trPr>
          <w:trHeight w:val="355"/>
        </w:trPr>
        <w:tc>
          <w:tcPr>
            <w:tcW w:w="1578" w:type="dxa"/>
            <w:vMerge w:val="restart"/>
            <w:tcBorders>
              <w:top w:val="single" w:sz="4" w:space="0" w:color="auto"/>
              <w:left w:val="single" w:sz="12" w:space="0" w:color="auto"/>
              <w:bottom w:val="single" w:sz="12" w:space="0" w:color="auto"/>
              <w:right w:val="single" w:sz="4" w:space="0" w:color="auto"/>
            </w:tcBorders>
            <w:vAlign w:val="center"/>
            <w:hideMark/>
          </w:tcPr>
          <w:p w:rsidR="003D45CA" w:rsidRPr="003D45CA" w:rsidRDefault="003D45CA" w:rsidP="003D45CA">
            <w:pPr>
              <w:ind w:left="72"/>
              <w:jc w:val="center"/>
              <w:rPr>
                <w:rFonts w:ascii="Arial" w:eastAsiaTheme="minorEastAsia" w:hAnsi="Arial" w:cs="Arial"/>
                <w:lang w:eastAsia="en-GB"/>
              </w:rPr>
            </w:pPr>
            <w:r w:rsidRPr="003D45CA">
              <w:rPr>
                <w:rFonts w:ascii="Arial" w:eastAsiaTheme="minorEastAsia" w:hAnsi="Arial" w:cs="Arial"/>
                <w:lang w:eastAsia="en-GB"/>
              </w:rPr>
              <w:t>Elimination &amp; continence management</w:t>
            </w:r>
          </w:p>
        </w:tc>
        <w:tc>
          <w:tcPr>
            <w:tcW w:w="2694" w:type="dxa"/>
            <w:vMerge w:val="restart"/>
            <w:tcBorders>
              <w:top w:val="single" w:sz="4" w:space="0" w:color="auto"/>
              <w:left w:val="single" w:sz="4" w:space="0" w:color="auto"/>
              <w:bottom w:val="single" w:sz="12" w:space="0" w:color="auto"/>
              <w:right w:val="single" w:sz="4" w:space="0" w:color="auto"/>
            </w:tcBorders>
          </w:tcPr>
          <w:p w:rsidR="003D45CA" w:rsidRPr="003D45CA" w:rsidRDefault="003D45CA" w:rsidP="003D45CA">
            <w:pPr>
              <w:ind w:left="252"/>
              <w:rPr>
                <w:rFonts w:ascii="Arial" w:eastAsiaTheme="minorEastAsia" w:hAnsi="Arial" w:cs="Arial"/>
                <w:lang w:eastAsia="en-GB"/>
              </w:rPr>
            </w:pPr>
          </w:p>
          <w:p w:rsidR="003D45CA" w:rsidRPr="003D45CA" w:rsidRDefault="003D45CA" w:rsidP="003D45CA">
            <w:pPr>
              <w:rPr>
                <w:rFonts w:ascii="Arial" w:eastAsiaTheme="minorEastAsia" w:hAnsi="Arial" w:cs="Arial"/>
                <w:lang w:eastAsia="en-GB"/>
              </w:rPr>
            </w:pPr>
          </w:p>
          <w:p w:rsidR="003D45CA" w:rsidRPr="003D45CA" w:rsidRDefault="003D45CA" w:rsidP="003D45CA">
            <w:pPr>
              <w:rPr>
                <w:rFonts w:ascii="Arial" w:eastAsiaTheme="minorEastAsia" w:hAnsi="Arial" w:cs="Arial"/>
                <w:lang w:eastAsia="en-GB"/>
              </w:rPr>
            </w:pPr>
          </w:p>
          <w:p w:rsidR="003D45CA" w:rsidRPr="003D45CA" w:rsidRDefault="003D45CA" w:rsidP="003D45CA">
            <w:pPr>
              <w:rPr>
                <w:rFonts w:ascii="Arial" w:eastAsiaTheme="minorEastAsia" w:hAnsi="Arial" w:cs="Arial"/>
                <w:lang w:eastAsia="en-GB"/>
              </w:rPr>
            </w:pP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Continence is promoted and optimised</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Privacy and dignity is maintained at all times</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Skin integrity is maximised</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Risk of infection is minimised</w:t>
            </w:r>
          </w:p>
          <w:p w:rsidR="003D45CA" w:rsidRPr="003D45CA" w:rsidRDefault="003D45CA" w:rsidP="003D45CA">
            <w:pPr>
              <w:ind w:left="72"/>
              <w:rPr>
                <w:rFonts w:ascii="Arial" w:eastAsiaTheme="minorEastAsia"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Undertake a continence assessment on admission, develop a continence plan and monitor and review as appropriate</w:t>
            </w:r>
          </w:p>
        </w:tc>
      </w:tr>
      <w:tr w:rsidR="003D45CA" w:rsidRPr="003D45CA" w:rsidTr="00792CEA">
        <w:trPr>
          <w:trHeight w:val="355"/>
        </w:trPr>
        <w:tc>
          <w:tcPr>
            <w:tcW w:w="1578" w:type="dxa"/>
            <w:vMerge/>
            <w:tcBorders>
              <w:top w:val="single" w:sz="4"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hAnsi="Arial" w:cs="Arial"/>
                <w:lang w:eastAsia="en-GB"/>
              </w:rPr>
            </w:pPr>
            <w:r w:rsidRPr="003D45CA">
              <w:rPr>
                <w:rFonts w:ascii="Arial" w:eastAsiaTheme="minorEastAsia" w:hAnsi="Arial" w:cs="Arial"/>
                <w:lang w:eastAsia="en-GB"/>
              </w:rPr>
              <w:t>Ensure access to specialist continence nurses and refer as appropriate in-line with local access criteria</w:t>
            </w:r>
          </w:p>
        </w:tc>
      </w:tr>
      <w:tr w:rsidR="003D45CA" w:rsidRPr="003D45CA" w:rsidTr="00792CEA">
        <w:trPr>
          <w:trHeight w:val="355"/>
        </w:trPr>
        <w:tc>
          <w:tcPr>
            <w:tcW w:w="1578" w:type="dxa"/>
            <w:vMerge/>
            <w:tcBorders>
              <w:top w:val="single" w:sz="4"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hAnsi="Arial" w:cs="Arial"/>
                <w:lang w:eastAsia="en-GB"/>
              </w:rPr>
            </w:pPr>
            <w:r w:rsidRPr="003D45CA">
              <w:rPr>
                <w:rFonts w:ascii="Arial" w:eastAsiaTheme="minorEastAsia" w:hAnsi="Arial" w:cs="Arial"/>
                <w:lang w:eastAsia="en-GB"/>
              </w:rPr>
              <w:t>Recognise normal patterns and act on abnormal occurrences seeking specialist advice as required</w:t>
            </w:r>
          </w:p>
        </w:tc>
      </w:tr>
      <w:tr w:rsidR="003D45CA" w:rsidRPr="003D45CA" w:rsidTr="00792CEA">
        <w:trPr>
          <w:trHeight w:val="355"/>
        </w:trPr>
        <w:tc>
          <w:tcPr>
            <w:tcW w:w="1578" w:type="dxa"/>
            <w:vMerge/>
            <w:tcBorders>
              <w:top w:val="single" w:sz="4"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12" w:space="0" w:color="auto"/>
              <w:right w:val="single" w:sz="12" w:space="0" w:color="auto"/>
            </w:tcBorders>
            <w:hideMark/>
          </w:tcPr>
          <w:p w:rsidR="003D45CA" w:rsidRPr="003D45CA" w:rsidRDefault="003D45CA" w:rsidP="003D45CA">
            <w:pPr>
              <w:numPr>
                <w:ilvl w:val="0"/>
                <w:numId w:val="1"/>
              </w:numPr>
              <w:ind w:left="252" w:hanging="180"/>
              <w:rPr>
                <w:rFonts w:ascii="Arial" w:hAnsi="Arial" w:cs="Arial"/>
                <w:lang w:eastAsia="en-GB"/>
              </w:rPr>
            </w:pPr>
            <w:r w:rsidRPr="003D45CA">
              <w:rPr>
                <w:rFonts w:ascii="Arial" w:eastAsiaTheme="minorEastAsia" w:hAnsi="Arial" w:cs="Arial"/>
                <w:lang w:eastAsia="en-GB"/>
              </w:rPr>
              <w:t>Monitor for and act on any infection</w:t>
            </w:r>
          </w:p>
        </w:tc>
      </w:tr>
      <w:tr w:rsidR="003D45CA" w:rsidRPr="003D45CA" w:rsidTr="00792CEA">
        <w:trPr>
          <w:trHeight w:val="355"/>
        </w:trPr>
        <w:tc>
          <w:tcPr>
            <w:tcW w:w="1578" w:type="dxa"/>
            <w:vMerge/>
            <w:tcBorders>
              <w:top w:val="single" w:sz="4"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12"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hAnsi="Arial" w:cs="Arial"/>
                <w:lang w:eastAsia="en-GB"/>
              </w:rPr>
            </w:pPr>
            <w:r w:rsidRPr="003D45CA">
              <w:rPr>
                <w:rFonts w:ascii="Arial" w:eastAsiaTheme="minorEastAsia" w:hAnsi="Arial" w:cs="Arial"/>
                <w:lang w:eastAsia="en-GB"/>
              </w:rPr>
              <w:t>Provide appropriate management supervision and equipment e.g. in relation to catheterisation, bowel management etc.</w:t>
            </w:r>
          </w:p>
        </w:tc>
      </w:tr>
      <w:tr w:rsidR="003D45CA" w:rsidRPr="003D45CA" w:rsidTr="00792CEA">
        <w:trPr>
          <w:trHeight w:val="355"/>
        </w:trPr>
        <w:tc>
          <w:tcPr>
            <w:tcW w:w="1578" w:type="dxa"/>
            <w:vMerge/>
            <w:tcBorders>
              <w:top w:val="single" w:sz="4"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hAnsi="Arial" w:cs="Arial"/>
                <w:lang w:eastAsia="en-GB"/>
              </w:rPr>
            </w:pPr>
            <w:r w:rsidRPr="003D45CA">
              <w:rPr>
                <w:rFonts w:ascii="Arial" w:eastAsiaTheme="minorEastAsia" w:hAnsi="Arial" w:cs="Arial"/>
                <w:lang w:eastAsia="en-GB"/>
              </w:rPr>
              <w:t>Complete full and regular continence assessments and reviews as appropriate</w:t>
            </w:r>
          </w:p>
        </w:tc>
      </w:tr>
      <w:tr w:rsidR="003D45CA" w:rsidRPr="003D45CA" w:rsidTr="00792CEA">
        <w:trPr>
          <w:trHeight w:val="355"/>
        </w:trPr>
        <w:tc>
          <w:tcPr>
            <w:tcW w:w="1578"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ind w:left="72"/>
              <w:jc w:val="center"/>
              <w:rPr>
                <w:rFonts w:ascii="Arial" w:hAnsi="Arial" w:cs="Arial"/>
                <w:lang w:eastAsia="en-GB"/>
              </w:rPr>
            </w:pPr>
            <w:r w:rsidRPr="003D45CA">
              <w:rPr>
                <w:rFonts w:ascii="Arial" w:eastAsiaTheme="minorEastAsia" w:hAnsi="Arial" w:cs="Arial"/>
                <w:lang w:eastAsia="en-GB"/>
              </w:rPr>
              <w:t>Skin (including tissue viability)</w:t>
            </w:r>
          </w:p>
        </w:tc>
        <w:tc>
          <w:tcPr>
            <w:tcW w:w="2694" w:type="dxa"/>
            <w:vMerge w:val="restart"/>
            <w:tcBorders>
              <w:top w:val="single" w:sz="4" w:space="0" w:color="auto"/>
              <w:left w:val="single" w:sz="4" w:space="0" w:color="auto"/>
              <w:bottom w:val="single" w:sz="12" w:space="0" w:color="auto"/>
              <w:right w:val="single" w:sz="4" w:space="0" w:color="auto"/>
            </w:tcBorders>
            <w:hideMark/>
          </w:tcPr>
          <w:p w:rsidR="003D45CA" w:rsidRPr="003D45CA" w:rsidRDefault="003D45CA" w:rsidP="003D45CA">
            <w:pPr>
              <w:ind w:left="252"/>
              <w:rPr>
                <w:rFonts w:ascii="Arial" w:eastAsiaTheme="minorEastAsia" w:hAnsi="Arial" w:cs="Arial"/>
                <w:lang w:eastAsia="en-GB"/>
              </w:rPr>
            </w:pPr>
          </w:p>
          <w:p w:rsidR="003D45CA" w:rsidRPr="003D45CA" w:rsidRDefault="003D45CA" w:rsidP="003D45CA">
            <w:pPr>
              <w:ind w:left="72"/>
              <w:rPr>
                <w:rFonts w:ascii="Arial" w:eastAsiaTheme="minorEastAsia" w:hAnsi="Arial" w:cs="Arial"/>
                <w:lang w:eastAsia="en-GB"/>
              </w:rPr>
            </w:pPr>
          </w:p>
          <w:p w:rsidR="003D45CA" w:rsidRPr="003D45CA" w:rsidRDefault="003D45CA" w:rsidP="003D45CA">
            <w:pPr>
              <w:ind w:left="72"/>
              <w:rPr>
                <w:rFonts w:ascii="Arial" w:eastAsiaTheme="minorEastAsia" w:hAnsi="Arial" w:cs="Arial"/>
                <w:lang w:eastAsia="en-GB"/>
              </w:rPr>
            </w:pPr>
          </w:p>
          <w:p w:rsidR="003D45CA" w:rsidRPr="003D45CA" w:rsidRDefault="003D45CA" w:rsidP="003D45CA">
            <w:pPr>
              <w:ind w:left="72"/>
              <w:rPr>
                <w:rFonts w:ascii="Arial" w:eastAsiaTheme="minorEastAsia" w:hAnsi="Arial" w:cs="Arial"/>
                <w:lang w:eastAsia="en-GB"/>
              </w:rPr>
            </w:pP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Skin integrity is optimised with active Service User input as appropriate</w:t>
            </w:r>
          </w:p>
        </w:tc>
        <w:tc>
          <w:tcPr>
            <w:tcW w:w="4616" w:type="dxa"/>
            <w:tcBorders>
              <w:top w:val="single" w:sz="12"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an assessment of skin integrity and management is completed on admission. Monitor and review as appropriate</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Provide appropriate equipment to maintain skin integrity</w:t>
            </w:r>
          </w:p>
        </w:tc>
      </w:tr>
      <w:tr w:rsidR="003D45CA" w:rsidRPr="003D45CA" w:rsidTr="00792CEA">
        <w:trPr>
          <w:trHeight w:val="567"/>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5" w:hanging="181"/>
              <w:rPr>
                <w:rFonts w:ascii="Arial" w:eastAsiaTheme="minorEastAsia" w:hAnsi="Arial" w:cs="Arial"/>
                <w:lang w:eastAsia="en-GB"/>
              </w:rPr>
            </w:pPr>
            <w:r w:rsidRPr="003D45CA">
              <w:rPr>
                <w:rFonts w:ascii="Arial" w:eastAsiaTheme="minorEastAsia" w:hAnsi="Arial" w:cs="Arial"/>
                <w:lang w:eastAsia="en-GB"/>
              </w:rPr>
              <w:t>Ensure evidence based wound management up to local tissue viability referral criteria</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Prompt recognition of and action as a result of any changes to risk factors</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4"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12" w:space="0" w:color="auto"/>
              <w:right w:val="single" w:sz="12" w:space="0" w:color="auto"/>
            </w:tcBorders>
            <w:hideMark/>
          </w:tcPr>
          <w:p w:rsidR="003D45CA" w:rsidRPr="003D45CA" w:rsidRDefault="003D45CA" w:rsidP="003D45CA">
            <w:pPr>
              <w:numPr>
                <w:ilvl w:val="0"/>
                <w:numId w:val="1"/>
              </w:numPr>
              <w:ind w:left="254" w:hanging="182"/>
              <w:rPr>
                <w:rFonts w:ascii="Arial" w:eastAsiaTheme="minorEastAsia" w:hAnsi="Arial" w:cs="Arial"/>
                <w:lang w:eastAsia="en-GB"/>
              </w:rPr>
            </w:pPr>
            <w:r w:rsidRPr="003D45CA">
              <w:rPr>
                <w:rFonts w:ascii="Arial" w:eastAsiaTheme="minorEastAsia" w:hAnsi="Arial" w:cs="Arial"/>
                <w:lang w:eastAsia="en-GB"/>
              </w:rPr>
              <w:t>Manage skin conditions and utilise appropriate interventions as appropriate e.g. creams</w:t>
            </w:r>
          </w:p>
        </w:tc>
      </w:tr>
      <w:tr w:rsidR="003D45CA" w:rsidRPr="003D45CA" w:rsidTr="00792CEA">
        <w:trPr>
          <w:trHeight w:val="600"/>
        </w:trPr>
        <w:tc>
          <w:tcPr>
            <w:tcW w:w="1578" w:type="dxa"/>
            <w:vMerge w:val="restart"/>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ind w:left="72"/>
              <w:jc w:val="center"/>
              <w:rPr>
                <w:rFonts w:ascii="Arial" w:eastAsiaTheme="minorEastAsia" w:hAnsi="Arial" w:cs="Arial"/>
                <w:lang w:eastAsia="en-GB"/>
              </w:rPr>
            </w:pPr>
            <w:r w:rsidRPr="003D45CA">
              <w:rPr>
                <w:rFonts w:ascii="Arial" w:eastAsiaTheme="minorEastAsia" w:hAnsi="Arial" w:cs="Arial"/>
                <w:lang w:eastAsia="en-GB"/>
              </w:rPr>
              <w:t>Breathing</w:t>
            </w:r>
          </w:p>
        </w:tc>
        <w:tc>
          <w:tcPr>
            <w:tcW w:w="2694" w:type="dxa"/>
            <w:vMerge w:val="restart"/>
            <w:tcBorders>
              <w:top w:val="single" w:sz="12" w:space="0" w:color="auto"/>
              <w:left w:val="single" w:sz="4" w:space="0" w:color="auto"/>
              <w:bottom w:val="single" w:sz="12" w:space="0" w:color="auto"/>
              <w:right w:val="single" w:sz="4"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Airway integrity is maintained and breathing is optimised</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Respiratory risk is minimised</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Negative impacts of respiratory dysfunction on daily living are minimised</w:t>
            </w:r>
          </w:p>
        </w:tc>
        <w:tc>
          <w:tcPr>
            <w:tcW w:w="4616" w:type="dxa"/>
            <w:tcBorders>
              <w:top w:val="single" w:sz="12"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a breathing assessment is completed on admission. Monitor and review as appropriate</w:t>
            </w:r>
          </w:p>
        </w:tc>
      </w:tr>
      <w:tr w:rsidR="003D45CA" w:rsidRPr="003D45CA" w:rsidTr="00792CEA">
        <w:trPr>
          <w:trHeight w:val="355"/>
        </w:trPr>
        <w:tc>
          <w:tcPr>
            <w:tcW w:w="1578"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Utilise appropriate equipment to support Service User breathing as prescribed, e.g. nebulisers and tracheotomy, CPAP equipment</w:t>
            </w:r>
          </w:p>
        </w:tc>
      </w:tr>
      <w:tr w:rsidR="003D45CA" w:rsidRPr="003D45CA" w:rsidTr="00792CEA">
        <w:trPr>
          <w:trHeight w:val="355"/>
        </w:trPr>
        <w:tc>
          <w:tcPr>
            <w:tcW w:w="1578"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12"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 xml:space="preserve">Utilise oxygen and manage conditions, in partnership with the appropriate clinician  </w:t>
            </w:r>
          </w:p>
        </w:tc>
      </w:tr>
      <w:tr w:rsidR="003D45CA" w:rsidRPr="003D45CA" w:rsidTr="00792CEA">
        <w:trPr>
          <w:trHeight w:val="355"/>
        </w:trPr>
        <w:tc>
          <w:tcPr>
            <w:tcW w:w="1578"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jc w:val="center"/>
              <w:rPr>
                <w:rFonts w:ascii="Arial" w:eastAsiaTheme="minorEastAsia" w:hAnsi="Arial" w:cs="Arial"/>
                <w:lang w:eastAsia="en-GB"/>
              </w:rPr>
            </w:pPr>
          </w:p>
          <w:p w:rsidR="003D45CA" w:rsidRPr="003D45CA" w:rsidRDefault="003D45CA" w:rsidP="003D45CA">
            <w:pPr>
              <w:jc w:val="center"/>
              <w:rPr>
                <w:rFonts w:ascii="Arial" w:eastAsiaTheme="minorEastAsia" w:hAnsi="Arial" w:cs="Arial"/>
                <w:lang w:eastAsia="en-GB"/>
              </w:rPr>
            </w:pPr>
            <w:r w:rsidRPr="003D45CA">
              <w:rPr>
                <w:rFonts w:ascii="Arial" w:eastAsiaTheme="minorEastAsia" w:hAnsi="Arial" w:cs="Arial"/>
                <w:lang w:eastAsia="en-GB"/>
              </w:rPr>
              <w:t>Pain</w:t>
            </w:r>
          </w:p>
        </w:tc>
        <w:tc>
          <w:tcPr>
            <w:tcW w:w="2694" w:type="dxa"/>
            <w:vMerge w:val="restart"/>
            <w:tcBorders>
              <w:top w:val="single" w:sz="12" w:space="0" w:color="auto"/>
              <w:left w:val="single" w:sz="4" w:space="0" w:color="auto"/>
              <w:bottom w:val="single" w:sz="12" w:space="0" w:color="auto"/>
              <w:right w:val="single" w:sz="4" w:space="0" w:color="auto"/>
            </w:tcBorders>
            <w:hideMark/>
          </w:tcPr>
          <w:p w:rsidR="003D45CA" w:rsidRPr="003D45CA" w:rsidRDefault="003D45CA" w:rsidP="003D45CA">
            <w:pPr>
              <w:ind w:left="252"/>
              <w:rPr>
                <w:rFonts w:ascii="Arial" w:eastAsiaTheme="minorEastAsia" w:hAnsi="Arial" w:cs="Arial"/>
                <w:lang w:eastAsia="en-GB"/>
              </w:rPr>
            </w:pPr>
          </w:p>
          <w:p w:rsidR="003D45CA" w:rsidRPr="003D45CA" w:rsidRDefault="003D45CA" w:rsidP="003D45CA">
            <w:pPr>
              <w:ind w:left="252"/>
              <w:rPr>
                <w:rFonts w:ascii="Arial" w:eastAsiaTheme="minorEastAsia" w:hAnsi="Arial" w:cs="Arial"/>
                <w:lang w:eastAsia="en-GB"/>
              </w:rPr>
            </w:pP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Service User’s pain levels are reduced and comfort optimised</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The negative impacts of pain on the Service User’s daily life is minimised</w:t>
            </w:r>
          </w:p>
        </w:tc>
        <w:tc>
          <w:tcPr>
            <w:tcW w:w="4616" w:type="dxa"/>
            <w:tcBorders>
              <w:top w:val="single" w:sz="12"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a pain assessment is completed on admission. Monitor and review as appropriate</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a range of communication skills are utilised to assess the characteristics of pain, e.g. location, severity on a scale of 1 – 10, type, descriptors frequency, precipitating factors, relief factors</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 xml:space="preserve">Administer analgesia as prescribed and monitor effect using pain assessment tool </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12"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Utilise appropriate non-pharmacological methods to reduce pain and discomfort</w:t>
            </w:r>
          </w:p>
        </w:tc>
      </w:tr>
      <w:tr w:rsidR="003D45CA" w:rsidRPr="003D45CA" w:rsidTr="00792CEA">
        <w:trPr>
          <w:trHeight w:val="355"/>
        </w:trPr>
        <w:tc>
          <w:tcPr>
            <w:tcW w:w="1578"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jc w:val="center"/>
              <w:rPr>
                <w:rFonts w:ascii="Arial" w:eastAsiaTheme="minorEastAsia" w:hAnsi="Arial" w:cs="Arial"/>
                <w:lang w:eastAsia="en-GB"/>
              </w:rPr>
            </w:pPr>
            <w:r w:rsidRPr="003D45CA">
              <w:rPr>
                <w:rFonts w:ascii="Arial" w:eastAsiaTheme="minorEastAsia" w:hAnsi="Arial" w:cs="Arial"/>
                <w:lang w:eastAsia="en-GB"/>
              </w:rPr>
              <w:t>Medication</w:t>
            </w:r>
          </w:p>
        </w:tc>
        <w:tc>
          <w:tcPr>
            <w:tcW w:w="2694" w:type="dxa"/>
            <w:vMerge w:val="restart"/>
            <w:tcBorders>
              <w:top w:val="single" w:sz="12" w:space="0" w:color="auto"/>
              <w:left w:val="single" w:sz="4" w:space="0" w:color="auto"/>
              <w:bottom w:val="single" w:sz="12" w:space="0" w:color="auto"/>
              <w:right w:val="single" w:sz="4" w:space="0" w:color="auto"/>
            </w:tcBorders>
          </w:tcPr>
          <w:p w:rsidR="003D45CA" w:rsidRPr="003D45CA" w:rsidRDefault="003D45CA" w:rsidP="003D45CA">
            <w:pPr>
              <w:ind w:left="252"/>
              <w:rPr>
                <w:rFonts w:ascii="Arial" w:eastAsiaTheme="minorEastAsia" w:hAnsi="Arial" w:cs="Arial"/>
                <w:lang w:eastAsia="en-GB"/>
              </w:rPr>
            </w:pPr>
          </w:p>
          <w:p w:rsidR="003D45CA" w:rsidRPr="003D45CA" w:rsidRDefault="003D45CA" w:rsidP="003D45CA">
            <w:pPr>
              <w:ind w:left="252"/>
              <w:rPr>
                <w:rFonts w:ascii="Arial" w:eastAsiaTheme="minorEastAsia" w:hAnsi="Arial" w:cs="Arial"/>
                <w:lang w:eastAsia="en-GB"/>
              </w:rPr>
            </w:pPr>
          </w:p>
          <w:p w:rsidR="003D45CA" w:rsidRPr="003D45CA" w:rsidRDefault="003D45CA" w:rsidP="003D45CA">
            <w:pPr>
              <w:ind w:left="252"/>
              <w:rPr>
                <w:rFonts w:ascii="Arial" w:eastAsiaTheme="minorEastAsia" w:hAnsi="Arial" w:cs="Arial"/>
                <w:lang w:eastAsia="en-GB"/>
              </w:rPr>
            </w:pPr>
          </w:p>
          <w:p w:rsidR="003D45CA" w:rsidRPr="003D45CA" w:rsidRDefault="003D45CA" w:rsidP="003D45CA">
            <w:pPr>
              <w:ind w:left="252"/>
              <w:rPr>
                <w:rFonts w:ascii="Arial" w:eastAsiaTheme="minorEastAsia" w:hAnsi="Arial" w:cs="Arial"/>
                <w:lang w:eastAsia="en-GB"/>
              </w:rPr>
            </w:pPr>
          </w:p>
          <w:p w:rsidR="003D45CA" w:rsidRPr="003D45CA" w:rsidRDefault="003D45CA" w:rsidP="003D45CA">
            <w:pPr>
              <w:ind w:left="252"/>
              <w:rPr>
                <w:rFonts w:ascii="Arial" w:eastAsiaTheme="minorEastAsia" w:hAnsi="Arial" w:cs="Arial"/>
                <w:lang w:eastAsia="en-GB"/>
              </w:rPr>
            </w:pPr>
          </w:p>
          <w:p w:rsidR="003D45CA" w:rsidRPr="003D45CA" w:rsidRDefault="003D45CA" w:rsidP="003D45CA">
            <w:pPr>
              <w:ind w:left="252"/>
              <w:rPr>
                <w:rFonts w:ascii="Arial" w:eastAsiaTheme="minorEastAsia" w:hAnsi="Arial" w:cs="Arial"/>
                <w:lang w:eastAsia="en-GB"/>
              </w:rPr>
            </w:pP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Medication is provided in a safe and timely manner in order to optimise the care and clinical condition of the Service User</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Patients are advised of the purpose of medication and actively engaged in the decision making and review of it</w:t>
            </w:r>
          </w:p>
          <w:p w:rsidR="003D45CA" w:rsidRPr="003D45CA" w:rsidRDefault="003D45CA" w:rsidP="003D45CA">
            <w:pPr>
              <w:ind w:left="72"/>
              <w:rPr>
                <w:rFonts w:ascii="Arial" w:eastAsiaTheme="minorEastAsia" w:hAnsi="Arial" w:cs="Arial"/>
                <w:lang w:eastAsia="en-GB"/>
              </w:rPr>
            </w:pPr>
          </w:p>
        </w:tc>
        <w:tc>
          <w:tcPr>
            <w:tcW w:w="4616" w:type="dxa"/>
            <w:tcBorders>
              <w:top w:val="single" w:sz="12"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a medication assessment is completed on admission. Monitor and review as appropriate</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4" w:hanging="180"/>
              <w:rPr>
                <w:rFonts w:ascii="Arial" w:eastAsiaTheme="minorEastAsia" w:hAnsi="Arial" w:cs="Arial"/>
                <w:lang w:eastAsia="en-GB"/>
              </w:rPr>
            </w:pPr>
            <w:r w:rsidRPr="003D45CA">
              <w:rPr>
                <w:rFonts w:ascii="Arial" w:eastAsiaTheme="minorEastAsia" w:hAnsi="Arial" w:cs="Arial"/>
                <w:lang w:eastAsia="en-GB"/>
              </w:rPr>
              <w:t>Maintain prompt access to all required medication</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appropriate recording of medication and escalation of non-compliance</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Inform the Service User and their representative(s) (as appropriate) of any likely side effects of medication</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 xml:space="preserve">Monitor the side effects of medication and refer to the appropriate prescriber. Subsequently notify the Commissioner </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Work with the specialist care teams to anticipate Service User requirements prior to immediate need</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that medication information is available in an accessible format focused on the Service User e.g. pictorial, tape, Braille, translated</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12"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that medication administration is in accordance with prescriptions and in line with the medication policy</w:t>
            </w:r>
          </w:p>
        </w:tc>
      </w:tr>
      <w:tr w:rsidR="003D45CA" w:rsidRPr="003D45CA" w:rsidTr="00792CEA">
        <w:trPr>
          <w:trHeight w:val="355"/>
        </w:trPr>
        <w:tc>
          <w:tcPr>
            <w:tcW w:w="1578"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jc w:val="center"/>
              <w:rPr>
                <w:rFonts w:ascii="Arial" w:eastAsiaTheme="minorEastAsia" w:hAnsi="Arial" w:cs="Arial"/>
                <w:lang w:eastAsia="en-GB"/>
              </w:rPr>
            </w:pPr>
            <w:r w:rsidRPr="003D45CA">
              <w:rPr>
                <w:rFonts w:ascii="Arial" w:eastAsiaTheme="minorEastAsia" w:hAnsi="Arial" w:cs="Arial"/>
                <w:lang w:eastAsia="en-GB"/>
              </w:rPr>
              <w:t>Cultural, religious &amp; spiritual needs</w:t>
            </w:r>
          </w:p>
        </w:tc>
        <w:tc>
          <w:tcPr>
            <w:tcW w:w="2694" w:type="dxa"/>
            <w:vMerge w:val="restart"/>
            <w:tcBorders>
              <w:top w:val="single" w:sz="12" w:space="0" w:color="auto"/>
              <w:left w:val="single" w:sz="4" w:space="0" w:color="auto"/>
              <w:bottom w:val="single" w:sz="12" w:space="0" w:color="auto"/>
              <w:right w:val="single" w:sz="4"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Cultural, religious and spiritual requirements of individual Patients are met</w:t>
            </w:r>
          </w:p>
        </w:tc>
        <w:tc>
          <w:tcPr>
            <w:tcW w:w="4616" w:type="dxa"/>
            <w:tcBorders>
              <w:top w:val="single" w:sz="12"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awareness of the role religion, culture and spirituality plays in the life of the individual and their family carer</w:t>
            </w:r>
          </w:p>
        </w:tc>
      </w:tr>
      <w:tr w:rsidR="003D45CA" w:rsidRPr="003D45CA" w:rsidTr="00792CEA">
        <w:trPr>
          <w:trHeight w:val="355"/>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12"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Ensure that activity planning will take account of cultural and religious needs</w:t>
            </w:r>
          </w:p>
        </w:tc>
      </w:tr>
      <w:tr w:rsidR="003D45CA" w:rsidRPr="003D45CA" w:rsidTr="00792CEA">
        <w:trPr>
          <w:trHeight w:val="355"/>
        </w:trPr>
        <w:tc>
          <w:tcPr>
            <w:tcW w:w="1578" w:type="dxa"/>
            <w:vMerge w:val="restart"/>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ind w:left="72"/>
              <w:jc w:val="center"/>
              <w:rPr>
                <w:rFonts w:ascii="Arial" w:eastAsiaTheme="minorEastAsia" w:hAnsi="Arial" w:cs="Arial"/>
                <w:lang w:eastAsia="en-GB"/>
              </w:rPr>
            </w:pPr>
            <w:r w:rsidRPr="003D45CA">
              <w:rPr>
                <w:rFonts w:ascii="Arial" w:eastAsiaTheme="minorEastAsia" w:hAnsi="Arial" w:cs="Arial"/>
                <w:lang w:eastAsia="en-GB"/>
              </w:rPr>
              <w:t>Washing and dressing</w:t>
            </w:r>
          </w:p>
        </w:tc>
        <w:tc>
          <w:tcPr>
            <w:tcW w:w="2694" w:type="dxa"/>
            <w:vMerge w:val="restart"/>
            <w:tcBorders>
              <w:top w:val="single" w:sz="12" w:space="0" w:color="auto"/>
              <w:left w:val="single" w:sz="4" w:space="0" w:color="auto"/>
              <w:bottom w:val="single" w:sz="4" w:space="0" w:color="auto"/>
              <w:right w:val="single" w:sz="4"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An appropriate standard of personal hygiene is encouraged and considerations for choices are given</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Service User independence, choice and physical/mental capability are respected</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The principles of privacy and dignity are applied at all times</w:t>
            </w:r>
          </w:p>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Skin integrity is maximised</w:t>
            </w:r>
          </w:p>
        </w:tc>
        <w:tc>
          <w:tcPr>
            <w:tcW w:w="4616" w:type="dxa"/>
            <w:tcBorders>
              <w:top w:val="single" w:sz="12"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Enable the Service User to dress appropriately including support of clothing selection and assistance as required</w:t>
            </w:r>
          </w:p>
        </w:tc>
      </w:tr>
      <w:tr w:rsidR="003D45CA" w:rsidRPr="003D45CA" w:rsidTr="00792CEA">
        <w:trPr>
          <w:trHeight w:val="355"/>
        </w:trPr>
        <w:tc>
          <w:tcPr>
            <w:tcW w:w="1578"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Enable access to a hairdressing facility as required</w:t>
            </w:r>
          </w:p>
        </w:tc>
      </w:tr>
      <w:tr w:rsidR="003D45CA" w:rsidRPr="003D45CA" w:rsidTr="00792CEA">
        <w:trPr>
          <w:trHeight w:val="355"/>
        </w:trPr>
        <w:tc>
          <w:tcPr>
            <w:tcW w:w="1578"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Support personal grooming as required and facilitate with appropriate equipment e.g. nail cutting</w:t>
            </w:r>
          </w:p>
        </w:tc>
      </w:tr>
      <w:tr w:rsidR="003D45CA" w:rsidRPr="003D45CA" w:rsidTr="00792CEA">
        <w:trPr>
          <w:trHeight w:val="355"/>
        </w:trPr>
        <w:tc>
          <w:tcPr>
            <w:tcW w:w="1578"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 xml:space="preserve">Ensure access to specialist services </w:t>
            </w:r>
          </w:p>
        </w:tc>
      </w:tr>
      <w:tr w:rsidR="003D45CA" w:rsidRPr="003D45CA" w:rsidTr="00792CEA">
        <w:trPr>
          <w:trHeight w:val="355"/>
        </w:trPr>
        <w:tc>
          <w:tcPr>
            <w:tcW w:w="1578"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Enable the Service User to dress in a suitably private area</w:t>
            </w:r>
          </w:p>
        </w:tc>
      </w:tr>
      <w:tr w:rsidR="003D45CA" w:rsidRPr="003D45CA" w:rsidTr="00792CEA">
        <w:trPr>
          <w:trHeight w:val="355"/>
        </w:trPr>
        <w:tc>
          <w:tcPr>
            <w:tcW w:w="1578"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rPr>
                <w:rFonts w:ascii="Arial" w:hAnsi="Arial" w:cs="Arial"/>
                <w:lang w:eastAsia="en-GB"/>
              </w:rPr>
            </w:pPr>
          </w:p>
        </w:tc>
        <w:tc>
          <w:tcPr>
            <w:tcW w:w="4616"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1"/>
              </w:numPr>
              <w:ind w:left="252" w:hanging="180"/>
              <w:rPr>
                <w:rFonts w:ascii="Arial" w:eastAsiaTheme="minorEastAsia" w:hAnsi="Arial" w:cs="Arial"/>
                <w:lang w:eastAsia="en-GB"/>
              </w:rPr>
            </w:pPr>
            <w:r w:rsidRPr="003D45CA">
              <w:rPr>
                <w:rFonts w:ascii="Arial" w:eastAsiaTheme="minorEastAsia" w:hAnsi="Arial" w:cs="Arial"/>
                <w:lang w:eastAsia="en-GB"/>
              </w:rPr>
              <w:t>Enable the Service User to be in a position to regularly wash and dress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2694"/>
        <w:gridCol w:w="4616"/>
      </w:tblGrid>
      <w:tr w:rsidR="003D45CA" w:rsidRPr="003D45CA" w:rsidTr="00792CEA">
        <w:trPr>
          <w:cantSplit/>
          <w:trHeight w:val="568"/>
        </w:trPr>
        <w:tc>
          <w:tcPr>
            <w:tcW w:w="1578"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ind w:left="72"/>
              <w:jc w:val="center"/>
              <w:rPr>
                <w:rFonts w:ascii="Arial" w:eastAsiaTheme="minorEastAsia" w:hAnsi="Arial" w:cs="Arial"/>
                <w:sz w:val="20"/>
                <w:szCs w:val="20"/>
                <w:lang w:eastAsia="en-GB"/>
              </w:rPr>
            </w:pPr>
            <w:r w:rsidRPr="003D45CA">
              <w:rPr>
                <w:rFonts w:ascii="Arial" w:eastAsiaTheme="minorEastAsia" w:hAnsi="Arial" w:cs="Arial"/>
                <w:sz w:val="20"/>
                <w:szCs w:val="20"/>
                <w:lang w:eastAsia="en-GB"/>
              </w:rPr>
              <w:t>End of life planning and care</w:t>
            </w:r>
          </w:p>
        </w:tc>
        <w:tc>
          <w:tcPr>
            <w:tcW w:w="2694" w:type="dxa"/>
            <w:vMerge w:val="restart"/>
            <w:tcBorders>
              <w:top w:val="single" w:sz="12" w:space="0" w:color="auto"/>
              <w:left w:val="single" w:sz="4" w:space="0" w:color="auto"/>
              <w:bottom w:val="single" w:sz="12" w:space="0" w:color="auto"/>
              <w:right w:val="single" w:sz="4" w:space="0" w:color="auto"/>
            </w:tcBorders>
            <w:vAlign w:val="center"/>
          </w:tcPr>
          <w:p w:rsidR="003D45CA" w:rsidRPr="003D45CA" w:rsidRDefault="003D45CA" w:rsidP="003D45CA">
            <w:pPr>
              <w:numPr>
                <w:ilvl w:val="0"/>
                <w:numId w:val="1"/>
              </w:numPr>
              <w:spacing w:after="0" w:line="240" w:lineRule="auto"/>
              <w:ind w:left="252" w:hanging="180"/>
              <w:rPr>
                <w:rFonts w:ascii="Arial" w:eastAsiaTheme="minorEastAsia" w:hAnsi="Arial" w:cs="Arial"/>
                <w:sz w:val="20"/>
                <w:szCs w:val="20"/>
                <w:lang w:eastAsia="en-GB"/>
              </w:rPr>
            </w:pPr>
            <w:r w:rsidRPr="003D45CA">
              <w:rPr>
                <w:rFonts w:ascii="Arial" w:eastAsiaTheme="minorEastAsia" w:hAnsi="Arial" w:cs="Arial"/>
                <w:sz w:val="20"/>
                <w:szCs w:val="20"/>
                <w:lang w:eastAsia="en-GB"/>
              </w:rPr>
              <w:t>To ensure that people die with dignity in the manner and setting of their choice</w:t>
            </w:r>
          </w:p>
          <w:p w:rsidR="003D45CA" w:rsidRPr="003D45CA" w:rsidRDefault="003D45CA" w:rsidP="003D45CA">
            <w:pPr>
              <w:spacing w:after="0" w:line="240" w:lineRule="auto"/>
              <w:ind w:left="72"/>
              <w:jc w:val="center"/>
              <w:rPr>
                <w:rFonts w:ascii="Arial" w:eastAsiaTheme="minorEastAsia" w:hAnsi="Arial" w:cs="Arial"/>
                <w:sz w:val="20"/>
                <w:szCs w:val="20"/>
                <w:lang w:eastAsia="en-GB"/>
              </w:rPr>
            </w:pPr>
          </w:p>
        </w:tc>
        <w:tc>
          <w:tcPr>
            <w:tcW w:w="4616"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spacing w:after="0" w:line="240" w:lineRule="auto"/>
              <w:ind w:left="72"/>
              <w:jc w:val="center"/>
              <w:rPr>
                <w:rFonts w:ascii="Arial" w:eastAsiaTheme="minorEastAsia" w:hAnsi="Arial" w:cs="Arial"/>
                <w:sz w:val="20"/>
                <w:szCs w:val="20"/>
                <w:lang w:eastAsia="en-GB"/>
              </w:rPr>
            </w:pPr>
            <w:r w:rsidRPr="003D45CA">
              <w:rPr>
                <w:rFonts w:ascii="Arial" w:eastAsiaTheme="minorEastAsia" w:hAnsi="Arial" w:cs="Arial"/>
                <w:sz w:val="20"/>
                <w:szCs w:val="20"/>
                <w:lang w:eastAsia="en-GB"/>
              </w:rPr>
              <w:t xml:space="preserve">If a Do Not Attempt Resuscitation (DNAR) status has been recorded in the Service User’s medical notes by the Responsible Medical Officer, ensure that staff are aware of and act in accordance with the DNAR status </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Ensure the Advanced Care Plan (including preferred place of death) has been completed within 1 month of admission.  This timescale is reduced to 1 week for fast-track palliative Patients</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Involve Patients and their representative(s) (as appropriate) in devising an Advance Care Plan in order to record end of life choices and preferences. Adapt and review as needed</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Ensure that there is a named ‘lead’ for palliative care within the home who has responsibility for the appropriate induction and training of staff in the home</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Provide appropriate end of life planning and care communication skills training for relevant staff at all levels</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Regularly engage with specialist palliative care teams, GPs and other Healthcare professionals, as applicable, including  identifying support and resources required to meet individual’s needs and to anticipate changes in their condition</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Provider is working towards the Gold Standards Framework in care homes and as a minimum implement the End of Life Care Pathways.</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Attend training provided on assessing and managing symptoms at the end of life</w:t>
            </w:r>
          </w:p>
        </w:tc>
      </w:tr>
      <w:tr w:rsidR="003D45CA" w:rsidRPr="003D45CA" w:rsidTr="00792CEA">
        <w:trPr>
          <w:cantSplit/>
          <w:trHeight w:val="442"/>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Manage care of Patients with syringe drivers</w:t>
            </w:r>
          </w:p>
        </w:tc>
      </w:tr>
      <w:tr w:rsidR="003D45CA" w:rsidRPr="003D45CA" w:rsidTr="00792CEA">
        <w:trPr>
          <w:cantSplit/>
          <w:trHeight w:val="544"/>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Ensure appropriate clinical supervision, consistent with occupational standards</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Ensure familiarity with and understanding of preferred Place of Care papers</w:t>
            </w:r>
          </w:p>
        </w:tc>
      </w:tr>
      <w:tr w:rsidR="003D45CA" w:rsidRPr="003D45CA" w:rsidTr="00792CEA">
        <w:trPr>
          <w:cantSplit/>
          <w:trHeight w:val="569"/>
        </w:trPr>
        <w:tc>
          <w:tcPr>
            <w:tcW w:w="1578"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imes New Roman" w:hAnsi="Arial" w:cs="Arial"/>
                <w:sz w:val="20"/>
                <w:szCs w:val="20"/>
                <w:lang w:eastAsia="en-GB"/>
              </w:rPr>
            </w:pPr>
          </w:p>
        </w:tc>
        <w:tc>
          <w:tcPr>
            <w:tcW w:w="4616"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spacing w:after="0" w:line="240" w:lineRule="auto"/>
              <w:ind w:left="252" w:hanging="180"/>
              <w:rPr>
                <w:rFonts w:ascii="Arial" w:eastAsia="Times New Roman" w:hAnsi="Arial" w:cs="Arial"/>
                <w:sz w:val="20"/>
                <w:szCs w:val="20"/>
                <w:lang w:eastAsia="en-GB"/>
              </w:rPr>
            </w:pPr>
            <w:r w:rsidRPr="003D45CA">
              <w:rPr>
                <w:rFonts w:ascii="Arial" w:eastAsia="Times New Roman" w:hAnsi="Arial" w:cs="Arial"/>
                <w:sz w:val="20"/>
                <w:szCs w:val="20"/>
                <w:lang w:eastAsia="en-GB"/>
              </w:rPr>
              <w:t>Signpost relatives and other residents to appropriate after death support</w:t>
            </w:r>
          </w:p>
        </w:tc>
      </w:tr>
    </w:tbl>
    <w:tbl>
      <w:tblPr>
        <w:tblpPr w:leftFromText="180" w:rightFromText="180" w:bottomFromText="200" w:vertAnchor="text" w:horzAnchor="margin" w:tblpY="114"/>
        <w:tblOverlap w:val="neve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2694"/>
        <w:gridCol w:w="4677"/>
      </w:tblGrid>
      <w:tr w:rsidR="003D45CA" w:rsidRPr="003D45CA" w:rsidTr="003D45CA">
        <w:trPr>
          <w:cantSplit/>
          <w:trHeight w:val="270"/>
        </w:trPr>
        <w:tc>
          <w:tcPr>
            <w:tcW w:w="1545" w:type="dxa"/>
            <w:vMerge w:val="restart"/>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spacing w:after="0" w:line="240" w:lineRule="auto"/>
              <w:jc w:val="center"/>
              <w:rPr>
                <w:rFonts w:ascii="Arial" w:eastAsiaTheme="minorEastAsia" w:hAnsi="Arial" w:cs="Arial"/>
                <w:b/>
                <w:bCs/>
                <w:color w:val="FFFFFF" w:themeColor="background1"/>
                <w:sz w:val="20"/>
                <w:szCs w:val="20"/>
                <w:lang w:eastAsia="ja-JP"/>
              </w:rPr>
            </w:pPr>
            <w:r w:rsidRPr="003D45CA">
              <w:rPr>
                <w:rFonts w:ascii="Arial" w:eastAsiaTheme="minorEastAsia" w:hAnsi="Arial" w:cs="Arial"/>
                <w:sz w:val="20"/>
                <w:szCs w:val="20"/>
                <w:lang w:eastAsia="ja-JP"/>
              </w:rPr>
              <w:t>Medications Management</w:t>
            </w:r>
          </w:p>
        </w:tc>
        <w:tc>
          <w:tcPr>
            <w:tcW w:w="2694" w:type="dxa"/>
            <w:vMerge w:val="restart"/>
            <w:tcBorders>
              <w:top w:val="single" w:sz="12" w:space="0" w:color="auto"/>
              <w:left w:val="single" w:sz="4" w:space="0" w:color="auto"/>
              <w:bottom w:val="single" w:sz="4" w:space="0" w:color="auto"/>
              <w:right w:val="single" w:sz="4" w:space="0" w:color="auto"/>
            </w:tcBorders>
            <w:vAlign w:val="center"/>
          </w:tcPr>
          <w:p w:rsidR="003D45CA" w:rsidRPr="003D45CA" w:rsidRDefault="003D45CA" w:rsidP="003D45CA">
            <w:pPr>
              <w:numPr>
                <w:ilvl w:val="0"/>
                <w:numId w:val="2"/>
              </w:numPr>
              <w:spacing w:after="0" w:line="240" w:lineRule="auto"/>
              <w:ind w:left="263" w:hanging="263"/>
              <w:contextualSpacing/>
              <w:rPr>
                <w:rFonts w:ascii="Arial" w:hAnsi="Arial" w:cs="Arial"/>
                <w:sz w:val="20"/>
                <w:szCs w:val="20"/>
              </w:rPr>
            </w:pPr>
            <w:r w:rsidRPr="003D45CA">
              <w:rPr>
                <w:rFonts w:ascii="Arial" w:eastAsia="Times New Roman" w:hAnsi="Arial" w:cs="Arial"/>
                <w:sz w:val="20"/>
                <w:szCs w:val="20"/>
                <w:lang w:eastAsia="en-GB"/>
              </w:rPr>
              <w:t>Patients are protected by the home’s policies and procedures for dealing with medication</w:t>
            </w:r>
          </w:p>
          <w:p w:rsidR="003D45CA" w:rsidRPr="003D45CA" w:rsidRDefault="003D45CA" w:rsidP="003D45CA">
            <w:pPr>
              <w:spacing w:after="0" w:line="240" w:lineRule="auto"/>
              <w:ind w:left="263"/>
              <w:contextualSpacing/>
              <w:rPr>
                <w:rFonts w:ascii="Arial" w:hAnsi="Arial" w:cs="Arial"/>
                <w:sz w:val="20"/>
                <w:szCs w:val="20"/>
              </w:rPr>
            </w:pPr>
          </w:p>
          <w:p w:rsidR="003D45CA" w:rsidRPr="003D45CA" w:rsidRDefault="003D45CA" w:rsidP="003D45CA">
            <w:pPr>
              <w:numPr>
                <w:ilvl w:val="0"/>
                <w:numId w:val="3"/>
              </w:numPr>
              <w:spacing w:after="0" w:line="240" w:lineRule="auto"/>
              <w:ind w:left="263" w:hanging="263"/>
              <w:contextualSpacing/>
              <w:rPr>
                <w:rFonts w:ascii="Arial" w:hAnsi="Arial" w:cs="Arial"/>
                <w:b/>
                <w:bCs/>
                <w:color w:val="FFFFFF" w:themeColor="background1"/>
                <w:sz w:val="20"/>
                <w:szCs w:val="20"/>
              </w:rPr>
            </w:pPr>
            <w:r w:rsidRPr="003D45CA">
              <w:rPr>
                <w:rFonts w:ascii="Arial" w:hAnsi="Arial" w:cs="Arial"/>
                <w:sz w:val="20"/>
                <w:szCs w:val="20"/>
              </w:rPr>
              <w:t>Patients where appropriate are responsible for their own medication</w:t>
            </w:r>
          </w:p>
        </w:tc>
        <w:tc>
          <w:tcPr>
            <w:tcW w:w="4677" w:type="dxa"/>
            <w:tcBorders>
              <w:top w:val="single" w:sz="12"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4"/>
              </w:numPr>
              <w:spacing w:after="0" w:line="240" w:lineRule="auto"/>
              <w:ind w:left="219" w:hanging="219"/>
              <w:contextualSpacing/>
              <w:rPr>
                <w:rFonts w:ascii="Arial" w:hAnsi="Arial" w:cs="Arial"/>
                <w:sz w:val="20"/>
                <w:szCs w:val="20"/>
              </w:rPr>
            </w:pPr>
            <w:r w:rsidRPr="003D45CA">
              <w:rPr>
                <w:rFonts w:ascii="Arial" w:hAnsi="Arial" w:cs="Arial"/>
                <w:sz w:val="20"/>
                <w:szCs w:val="20"/>
              </w:rPr>
              <w:t>The home has a clear policy and procedures for receiving, recording, storage, handling, administration and disposal of medicines and homely remedies including Controlled Drugs which adheres to current legislation and guidance.</w:t>
            </w:r>
          </w:p>
        </w:tc>
      </w:tr>
      <w:tr w:rsidR="003D45CA" w:rsidRPr="003D45CA" w:rsidTr="003D45CA">
        <w:trPr>
          <w:cantSplit/>
          <w:trHeight w:val="270"/>
        </w:trPr>
        <w:tc>
          <w:tcPr>
            <w:tcW w:w="1545"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b/>
                <w:bCs/>
                <w:color w:val="FFFFFF" w:themeColor="background1"/>
                <w:sz w:val="20"/>
                <w:szCs w:val="20"/>
                <w:lang w:eastAsia="ja-JP"/>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hAnsi="Arial" w:cs="Arial"/>
                <w:b/>
                <w:bCs/>
                <w:color w:val="FFFFFF" w:themeColor="background1"/>
                <w:sz w:val="20"/>
                <w:szCs w:val="20"/>
              </w:rPr>
            </w:pPr>
          </w:p>
        </w:tc>
        <w:tc>
          <w:tcPr>
            <w:tcW w:w="4677"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4"/>
              </w:numPr>
              <w:tabs>
                <w:tab w:val="left" w:pos="4602"/>
              </w:tabs>
              <w:spacing w:after="0" w:line="240" w:lineRule="auto"/>
              <w:ind w:left="219" w:hanging="219"/>
              <w:contextualSpacing/>
              <w:rPr>
                <w:rFonts w:ascii="Arial" w:hAnsi="Arial" w:cs="Arial"/>
                <w:sz w:val="20"/>
                <w:szCs w:val="20"/>
              </w:rPr>
            </w:pPr>
            <w:r w:rsidRPr="003D45CA">
              <w:rPr>
                <w:rFonts w:ascii="Arial" w:hAnsi="Arial" w:cs="Arial"/>
                <w:sz w:val="20"/>
                <w:szCs w:val="20"/>
              </w:rPr>
              <w:t>The policy has an explicit procedure for ordering and general principles for administering, timing and preparation of medication used in accordance with the homes selected monitored dosage system. This policy will be approved by the CCG Medicines Management team.</w:t>
            </w:r>
          </w:p>
        </w:tc>
      </w:tr>
      <w:tr w:rsidR="003D45CA" w:rsidRPr="003D45CA" w:rsidTr="003D45CA">
        <w:trPr>
          <w:cantSplit/>
          <w:trHeight w:val="270"/>
        </w:trPr>
        <w:tc>
          <w:tcPr>
            <w:tcW w:w="1545"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b/>
                <w:bCs/>
                <w:color w:val="FFFFFF" w:themeColor="background1"/>
                <w:sz w:val="20"/>
                <w:szCs w:val="20"/>
                <w:lang w:eastAsia="ja-JP"/>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hAnsi="Arial" w:cs="Arial"/>
                <w:b/>
                <w:bCs/>
                <w:color w:val="FFFFFF" w:themeColor="background1"/>
                <w:sz w:val="20"/>
                <w:szCs w:val="20"/>
              </w:rPr>
            </w:pPr>
          </w:p>
        </w:tc>
        <w:tc>
          <w:tcPr>
            <w:tcW w:w="4677"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2"/>
              </w:numPr>
              <w:tabs>
                <w:tab w:val="left" w:pos="0"/>
              </w:tabs>
              <w:spacing w:after="0" w:line="240" w:lineRule="auto"/>
              <w:ind w:left="258" w:hanging="258"/>
              <w:rPr>
                <w:rFonts w:ascii="Arial" w:eastAsia="Times New Roman" w:hAnsi="Arial" w:cs="Arial"/>
                <w:bCs/>
                <w:sz w:val="20"/>
                <w:szCs w:val="20"/>
                <w:lang w:eastAsia="ja-JP"/>
              </w:rPr>
            </w:pPr>
            <w:r w:rsidRPr="003D45CA">
              <w:rPr>
                <w:rFonts w:ascii="Arial" w:eastAsia="Times New Roman" w:hAnsi="Arial" w:cs="Arial"/>
                <w:bCs/>
                <w:sz w:val="20"/>
                <w:szCs w:val="20"/>
                <w:lang w:eastAsia="ja-JP"/>
              </w:rPr>
              <w:t>Patients have a professionally maintained record of past and present medication, stored safely and securely. Records are maintained to reflect the safe disposal of medication.</w:t>
            </w:r>
          </w:p>
        </w:tc>
      </w:tr>
      <w:tr w:rsidR="003D45CA" w:rsidRPr="003D45CA" w:rsidTr="003D45CA">
        <w:trPr>
          <w:cantSplit/>
          <w:trHeight w:val="270"/>
        </w:trPr>
        <w:tc>
          <w:tcPr>
            <w:tcW w:w="1545"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b/>
                <w:bCs/>
                <w:color w:val="FFFFFF" w:themeColor="background1"/>
                <w:sz w:val="20"/>
                <w:szCs w:val="20"/>
                <w:lang w:eastAsia="ja-JP"/>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hAnsi="Arial" w:cs="Arial"/>
                <w:b/>
                <w:bCs/>
                <w:color w:val="FFFFFF" w:themeColor="background1"/>
                <w:sz w:val="20"/>
                <w:szCs w:val="20"/>
              </w:rPr>
            </w:pPr>
          </w:p>
        </w:tc>
        <w:tc>
          <w:tcPr>
            <w:tcW w:w="4677"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2"/>
              </w:numPr>
              <w:tabs>
                <w:tab w:val="left" w:pos="0"/>
              </w:tabs>
              <w:spacing w:after="0" w:line="240" w:lineRule="auto"/>
              <w:ind w:left="246" w:hanging="246"/>
              <w:rPr>
                <w:rFonts w:ascii="Arial" w:eastAsia="Times New Roman" w:hAnsi="Arial" w:cs="Arial"/>
                <w:sz w:val="20"/>
                <w:szCs w:val="20"/>
                <w:lang w:eastAsia="ja-JP"/>
              </w:rPr>
            </w:pPr>
            <w:r w:rsidRPr="003D45CA">
              <w:rPr>
                <w:rFonts w:ascii="Arial" w:eastAsia="Times New Roman" w:hAnsi="Arial" w:cs="Arial"/>
                <w:sz w:val="20"/>
                <w:szCs w:val="20"/>
                <w:lang w:eastAsia="ja-JP"/>
              </w:rPr>
              <w:t>Patients can keep and self-administer their own medication and are appropriately supported to do so, unless it has been determined within a formally recorded risk management approach that this creates risks for themselves and/or others.</w:t>
            </w:r>
          </w:p>
        </w:tc>
      </w:tr>
      <w:tr w:rsidR="003D45CA" w:rsidRPr="003D45CA" w:rsidTr="003D45CA">
        <w:trPr>
          <w:cantSplit/>
          <w:trHeight w:val="270"/>
        </w:trPr>
        <w:tc>
          <w:tcPr>
            <w:tcW w:w="1545"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b/>
                <w:bCs/>
                <w:color w:val="FFFFFF" w:themeColor="background1"/>
                <w:sz w:val="20"/>
                <w:szCs w:val="20"/>
                <w:lang w:eastAsia="ja-JP"/>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hAnsi="Arial" w:cs="Arial"/>
                <w:b/>
                <w:bCs/>
                <w:color w:val="FFFFFF" w:themeColor="background1"/>
                <w:sz w:val="20"/>
                <w:szCs w:val="20"/>
              </w:rPr>
            </w:pPr>
          </w:p>
        </w:tc>
        <w:tc>
          <w:tcPr>
            <w:tcW w:w="4677"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5"/>
              </w:numPr>
              <w:spacing w:after="0" w:line="240" w:lineRule="auto"/>
              <w:ind w:left="219" w:hanging="219"/>
              <w:contextualSpacing/>
              <w:rPr>
                <w:rFonts w:ascii="Arial" w:hAnsi="Arial" w:cs="Arial"/>
                <w:b/>
                <w:bCs/>
                <w:color w:val="FFFFFF" w:themeColor="background1"/>
                <w:sz w:val="20"/>
                <w:szCs w:val="20"/>
              </w:rPr>
            </w:pPr>
            <w:r w:rsidRPr="003D45CA">
              <w:rPr>
                <w:rFonts w:ascii="Arial" w:hAnsi="Arial" w:cs="Arial"/>
                <w:sz w:val="20"/>
                <w:szCs w:val="20"/>
              </w:rPr>
              <w:t>All medications are administered by designated and trained staff.</w:t>
            </w:r>
          </w:p>
        </w:tc>
      </w:tr>
      <w:tr w:rsidR="003D45CA" w:rsidRPr="003D45CA" w:rsidTr="003D45CA">
        <w:trPr>
          <w:cantSplit/>
          <w:trHeight w:val="270"/>
        </w:trPr>
        <w:tc>
          <w:tcPr>
            <w:tcW w:w="1545" w:type="dxa"/>
            <w:vMerge/>
            <w:tcBorders>
              <w:top w:val="single" w:sz="12" w:space="0" w:color="auto"/>
              <w:left w:val="single" w:sz="12"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b/>
                <w:bCs/>
                <w:color w:val="FFFFFF" w:themeColor="background1"/>
                <w:sz w:val="20"/>
                <w:szCs w:val="20"/>
                <w:lang w:eastAsia="ja-JP"/>
              </w:rPr>
            </w:pPr>
          </w:p>
        </w:tc>
        <w:tc>
          <w:tcPr>
            <w:tcW w:w="2694" w:type="dxa"/>
            <w:vMerge/>
            <w:tcBorders>
              <w:top w:val="single" w:sz="12" w:space="0" w:color="auto"/>
              <w:left w:val="single" w:sz="4" w:space="0" w:color="auto"/>
              <w:bottom w:val="single" w:sz="4" w:space="0" w:color="auto"/>
              <w:right w:val="single" w:sz="4" w:space="0" w:color="auto"/>
            </w:tcBorders>
            <w:vAlign w:val="center"/>
            <w:hideMark/>
          </w:tcPr>
          <w:p w:rsidR="003D45CA" w:rsidRPr="003D45CA" w:rsidRDefault="003D45CA" w:rsidP="003D45CA">
            <w:pPr>
              <w:spacing w:after="0" w:line="240" w:lineRule="auto"/>
              <w:rPr>
                <w:rFonts w:ascii="Arial" w:hAnsi="Arial" w:cs="Arial"/>
                <w:b/>
                <w:bCs/>
                <w:color w:val="FFFFFF" w:themeColor="background1"/>
                <w:sz w:val="20"/>
                <w:szCs w:val="20"/>
              </w:rPr>
            </w:pPr>
          </w:p>
        </w:tc>
        <w:tc>
          <w:tcPr>
            <w:tcW w:w="4677" w:type="dxa"/>
            <w:tcBorders>
              <w:top w:val="single" w:sz="4" w:space="0" w:color="auto"/>
              <w:left w:val="single" w:sz="4" w:space="0" w:color="auto"/>
              <w:bottom w:val="single" w:sz="4" w:space="0" w:color="auto"/>
              <w:right w:val="single" w:sz="12" w:space="0" w:color="auto"/>
            </w:tcBorders>
            <w:hideMark/>
          </w:tcPr>
          <w:p w:rsidR="003D45CA" w:rsidRPr="003D45CA" w:rsidRDefault="003D45CA" w:rsidP="003D45CA">
            <w:pPr>
              <w:numPr>
                <w:ilvl w:val="0"/>
                <w:numId w:val="5"/>
              </w:numPr>
              <w:spacing w:after="0" w:line="240" w:lineRule="auto"/>
              <w:ind w:left="219" w:hanging="219"/>
              <w:contextualSpacing/>
              <w:rPr>
                <w:rFonts w:ascii="Arial" w:hAnsi="Arial" w:cs="Arial"/>
                <w:b/>
                <w:bCs/>
                <w:color w:val="FFFFFF" w:themeColor="background1"/>
                <w:sz w:val="20"/>
                <w:szCs w:val="20"/>
              </w:rPr>
            </w:pPr>
            <w:r w:rsidRPr="003D45CA">
              <w:rPr>
                <w:rFonts w:ascii="Arial" w:hAnsi="Arial" w:cs="Arial"/>
                <w:sz w:val="20"/>
                <w:szCs w:val="20"/>
              </w:rPr>
              <w:t>GPs and other professionals monitor and review medication as part of individual care planning.</w:t>
            </w:r>
          </w:p>
        </w:tc>
      </w:tr>
      <w:tr w:rsidR="003D45CA" w:rsidRPr="003D45CA" w:rsidTr="003D45CA">
        <w:trPr>
          <w:cantSplit/>
          <w:trHeight w:val="355"/>
        </w:trPr>
        <w:tc>
          <w:tcPr>
            <w:tcW w:w="1545" w:type="dxa"/>
            <w:vMerge w:val="restart"/>
            <w:tcBorders>
              <w:top w:val="single" w:sz="12" w:space="0" w:color="auto"/>
              <w:left w:val="single" w:sz="12" w:space="0" w:color="auto"/>
              <w:bottom w:val="single" w:sz="6" w:space="0" w:color="C0C0C0"/>
              <w:right w:val="single" w:sz="4" w:space="0" w:color="auto"/>
            </w:tcBorders>
            <w:vAlign w:val="center"/>
            <w:hideMark/>
          </w:tcPr>
          <w:p w:rsidR="003D45CA" w:rsidRPr="003D45CA" w:rsidRDefault="003D45CA" w:rsidP="003D45CA">
            <w:pPr>
              <w:spacing w:after="0" w:line="240" w:lineRule="auto"/>
              <w:contextualSpacing/>
              <w:rPr>
                <w:rFonts w:ascii="Arial" w:hAnsi="Arial" w:cs="Arial"/>
                <w:sz w:val="20"/>
                <w:szCs w:val="20"/>
              </w:rPr>
            </w:pPr>
            <w:r w:rsidRPr="003D45CA">
              <w:rPr>
                <w:rFonts w:ascii="Arial" w:hAnsi="Arial" w:cs="Arial"/>
                <w:sz w:val="20"/>
                <w:szCs w:val="20"/>
              </w:rPr>
              <w:t>Autonomy, Choice and Independence</w:t>
            </w:r>
          </w:p>
        </w:tc>
        <w:tc>
          <w:tcPr>
            <w:tcW w:w="2694" w:type="dxa"/>
            <w:vMerge w:val="restart"/>
            <w:tcBorders>
              <w:top w:val="single" w:sz="12" w:space="0" w:color="auto"/>
              <w:left w:val="single" w:sz="4" w:space="0" w:color="auto"/>
              <w:bottom w:val="single" w:sz="6" w:space="0" w:color="C0C0C0"/>
              <w:right w:val="single" w:sz="4" w:space="0" w:color="auto"/>
            </w:tcBorders>
            <w:vAlign w:val="center"/>
          </w:tcPr>
          <w:p w:rsidR="003D45CA" w:rsidRPr="003D45CA" w:rsidRDefault="003D45CA" w:rsidP="003D45CA">
            <w:pPr>
              <w:numPr>
                <w:ilvl w:val="0"/>
                <w:numId w:val="6"/>
              </w:numPr>
              <w:spacing w:after="0" w:line="240" w:lineRule="auto"/>
              <w:ind w:left="263" w:hanging="263"/>
              <w:contextualSpacing/>
              <w:rPr>
                <w:rFonts w:ascii="Arial" w:hAnsi="Arial" w:cs="Arial"/>
                <w:sz w:val="20"/>
                <w:szCs w:val="20"/>
              </w:rPr>
            </w:pPr>
            <w:r w:rsidRPr="003D45CA">
              <w:rPr>
                <w:rFonts w:ascii="Arial" w:hAnsi="Arial" w:cs="Arial"/>
                <w:sz w:val="20"/>
                <w:szCs w:val="20"/>
              </w:rPr>
              <w:t>Patients are helped to exercise informed choice and control over their lives and supported in maintaining their independence.</w:t>
            </w:r>
          </w:p>
          <w:p w:rsidR="003D45CA" w:rsidRPr="003D45CA" w:rsidRDefault="003D45CA" w:rsidP="003D45CA">
            <w:pPr>
              <w:spacing w:after="0" w:line="240" w:lineRule="auto"/>
              <w:contextualSpacing/>
              <w:rPr>
                <w:rFonts w:ascii="Arial" w:hAnsi="Arial" w:cs="Arial"/>
                <w:sz w:val="20"/>
                <w:szCs w:val="20"/>
              </w:rPr>
            </w:pPr>
          </w:p>
        </w:tc>
        <w:tc>
          <w:tcPr>
            <w:tcW w:w="4677"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The values, aims and objectives of the service and means of achieving these are detailed in a Service User guide and are compliant with the Mental Capacity Act 2005</w:t>
            </w:r>
          </w:p>
        </w:tc>
      </w:tr>
      <w:tr w:rsidR="003D45CA" w:rsidRPr="003D45CA" w:rsidTr="003D45CA">
        <w:trPr>
          <w:cantSplit/>
          <w:trHeight w:val="355"/>
        </w:trPr>
        <w:tc>
          <w:tcPr>
            <w:tcW w:w="1545" w:type="dxa"/>
            <w:vMerge/>
            <w:tcBorders>
              <w:top w:val="single" w:sz="12" w:space="0" w:color="auto"/>
              <w:left w:val="single" w:sz="12"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2694" w:type="dxa"/>
            <w:vMerge/>
            <w:tcBorders>
              <w:top w:val="single" w:sz="12" w:space="0" w:color="auto"/>
              <w:left w:val="single" w:sz="4"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4677"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A statement of terms and conditions is provided</w:t>
            </w:r>
          </w:p>
        </w:tc>
      </w:tr>
      <w:tr w:rsidR="003D45CA" w:rsidRPr="003D45CA" w:rsidTr="003D45CA">
        <w:trPr>
          <w:cantSplit/>
          <w:trHeight w:val="355"/>
        </w:trPr>
        <w:tc>
          <w:tcPr>
            <w:tcW w:w="1545" w:type="dxa"/>
            <w:vMerge/>
            <w:tcBorders>
              <w:top w:val="single" w:sz="12" w:space="0" w:color="auto"/>
              <w:left w:val="single" w:sz="12"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2694" w:type="dxa"/>
            <w:vMerge/>
            <w:tcBorders>
              <w:top w:val="single" w:sz="12" w:space="0" w:color="auto"/>
              <w:left w:val="single" w:sz="4"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4677"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Staff demonstrate a regard for the Service User’s choices when providing personal and nursing care.</w:t>
            </w:r>
          </w:p>
        </w:tc>
      </w:tr>
      <w:tr w:rsidR="003D45CA" w:rsidRPr="003D45CA" w:rsidTr="003D45CA">
        <w:trPr>
          <w:cantSplit/>
          <w:trHeight w:val="355"/>
        </w:trPr>
        <w:tc>
          <w:tcPr>
            <w:tcW w:w="1545" w:type="dxa"/>
            <w:vMerge/>
            <w:tcBorders>
              <w:top w:val="single" w:sz="12" w:space="0" w:color="auto"/>
              <w:left w:val="single" w:sz="12"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2694" w:type="dxa"/>
            <w:vMerge/>
            <w:tcBorders>
              <w:top w:val="single" w:sz="12" w:space="0" w:color="auto"/>
              <w:left w:val="single" w:sz="4"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4677"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Patients and their family, friends or representative shall be active participants in all assessment, determination, care planning and review processes wherever possible.</w:t>
            </w:r>
          </w:p>
        </w:tc>
      </w:tr>
      <w:tr w:rsidR="003D45CA" w:rsidRPr="003D45CA" w:rsidTr="003D45CA">
        <w:trPr>
          <w:cantSplit/>
          <w:trHeight w:val="355"/>
        </w:trPr>
        <w:tc>
          <w:tcPr>
            <w:tcW w:w="1545" w:type="dxa"/>
            <w:vMerge/>
            <w:tcBorders>
              <w:top w:val="single" w:sz="12" w:space="0" w:color="auto"/>
              <w:left w:val="single" w:sz="12"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2694" w:type="dxa"/>
            <w:vMerge/>
            <w:tcBorders>
              <w:top w:val="single" w:sz="12" w:space="0" w:color="auto"/>
              <w:left w:val="single" w:sz="4"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4677"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If Patients refuse essential nursing care it is reported in their notes and escalated when required to the GP and the Commissioner.</w:t>
            </w:r>
          </w:p>
        </w:tc>
      </w:tr>
      <w:tr w:rsidR="003D45CA" w:rsidRPr="003D45CA" w:rsidTr="003D45CA">
        <w:trPr>
          <w:cantSplit/>
          <w:trHeight w:val="355"/>
        </w:trPr>
        <w:tc>
          <w:tcPr>
            <w:tcW w:w="1545" w:type="dxa"/>
            <w:vMerge/>
            <w:tcBorders>
              <w:top w:val="single" w:sz="12" w:space="0" w:color="auto"/>
              <w:left w:val="single" w:sz="12"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2694" w:type="dxa"/>
            <w:vMerge/>
            <w:tcBorders>
              <w:top w:val="single" w:sz="12" w:space="0" w:color="auto"/>
              <w:left w:val="single" w:sz="4" w:space="0" w:color="auto"/>
              <w:bottom w:val="single" w:sz="6" w:space="0" w:color="C0C0C0"/>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4677" w:type="dxa"/>
            <w:tcBorders>
              <w:top w:val="single" w:sz="4" w:space="0" w:color="auto"/>
              <w:left w:val="single" w:sz="4" w:space="0" w:color="auto"/>
              <w:bottom w:val="single" w:sz="6" w:space="0" w:color="C0C0C0"/>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The physical environment is made to feel home like in character. Patients are provided with private accommodation which they can call their own which they can use when they wish.</w:t>
            </w:r>
          </w:p>
        </w:tc>
      </w:tr>
      <w:tr w:rsidR="003D45CA" w:rsidRPr="003D45CA" w:rsidTr="003D45CA">
        <w:trPr>
          <w:cantSplit/>
          <w:trHeight w:val="355"/>
        </w:trPr>
        <w:tc>
          <w:tcPr>
            <w:tcW w:w="1545" w:type="dxa"/>
            <w:vMerge w:val="restart"/>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contextualSpacing/>
              <w:rPr>
                <w:rFonts w:ascii="Arial" w:hAnsi="Arial" w:cs="Arial"/>
                <w:sz w:val="20"/>
                <w:szCs w:val="20"/>
              </w:rPr>
            </w:pPr>
            <w:r w:rsidRPr="003D45CA">
              <w:rPr>
                <w:rFonts w:ascii="Arial" w:hAnsi="Arial" w:cs="Arial"/>
                <w:sz w:val="20"/>
                <w:szCs w:val="20"/>
              </w:rPr>
              <w:t>Complaints and compliments</w:t>
            </w:r>
          </w:p>
        </w:tc>
        <w:tc>
          <w:tcPr>
            <w:tcW w:w="2694" w:type="dxa"/>
            <w:vMerge w:val="restart"/>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numPr>
                <w:ilvl w:val="0"/>
                <w:numId w:val="6"/>
              </w:numPr>
              <w:spacing w:after="0" w:line="240" w:lineRule="auto"/>
              <w:ind w:left="263" w:hanging="263"/>
              <w:contextualSpacing/>
              <w:rPr>
                <w:rFonts w:ascii="Arial" w:hAnsi="Arial" w:cs="Arial"/>
                <w:i/>
                <w:iCs/>
                <w:sz w:val="20"/>
                <w:szCs w:val="20"/>
              </w:rPr>
            </w:pPr>
            <w:r w:rsidRPr="003D45CA">
              <w:rPr>
                <w:rFonts w:ascii="Arial" w:hAnsi="Arial" w:cs="Arial"/>
                <w:sz w:val="20"/>
                <w:szCs w:val="20"/>
              </w:rPr>
              <w:t>Patients and their relatives and friends are confident that their</w:t>
            </w:r>
            <w:r w:rsidRPr="003D45CA">
              <w:rPr>
                <w:rFonts w:ascii="Arial" w:hAnsi="Arial" w:cs="Arial"/>
                <w:i/>
                <w:iCs/>
                <w:sz w:val="20"/>
                <w:szCs w:val="20"/>
              </w:rPr>
              <w:t xml:space="preserve"> </w:t>
            </w:r>
            <w:r w:rsidRPr="003D45CA">
              <w:rPr>
                <w:rFonts w:ascii="Arial" w:hAnsi="Arial" w:cs="Arial"/>
                <w:iCs/>
                <w:sz w:val="20"/>
                <w:szCs w:val="20"/>
              </w:rPr>
              <w:t>complaints will be listened to, taken seriously and acted upon.</w:t>
            </w:r>
          </w:p>
        </w:tc>
        <w:tc>
          <w:tcPr>
            <w:tcW w:w="4677"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 xml:space="preserve">The provider has a policy and procedure for dealing with complaints adhering to the Department of Health framework (April 2009) </w:t>
            </w:r>
          </w:p>
        </w:tc>
      </w:tr>
      <w:tr w:rsidR="003D45CA" w:rsidRPr="003D45CA" w:rsidTr="003D45CA">
        <w:trPr>
          <w:cantSplit/>
          <w:trHeight w:val="355"/>
        </w:trPr>
        <w:tc>
          <w:tcPr>
            <w:tcW w:w="1545"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hAnsi="Arial" w:cs="Arial"/>
                <w:i/>
                <w:iCs/>
                <w:sz w:val="20"/>
                <w:szCs w:val="20"/>
              </w:rPr>
            </w:pPr>
          </w:p>
        </w:tc>
        <w:tc>
          <w:tcPr>
            <w:tcW w:w="4677"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The provider maintains an up to date log of compliments and complaints showing:</w:t>
            </w:r>
          </w:p>
          <w:p w:rsidR="003D45CA" w:rsidRPr="003D45CA" w:rsidRDefault="003D45CA" w:rsidP="003D45CA">
            <w:pPr>
              <w:spacing w:after="0" w:line="240" w:lineRule="auto"/>
              <w:ind w:left="720" w:hanging="360"/>
              <w:rPr>
                <w:rFonts w:ascii="Arial" w:eastAsiaTheme="minorEastAsia" w:hAnsi="Arial" w:cs="Arial"/>
                <w:sz w:val="20"/>
                <w:szCs w:val="20"/>
                <w:lang w:eastAsia="ja-JP"/>
              </w:rPr>
            </w:pPr>
            <w:r w:rsidRPr="003D45CA">
              <w:rPr>
                <w:rFonts w:ascii="Arial" w:eastAsiaTheme="minorEastAsia" w:hAnsi="Arial" w:cs="Arial"/>
                <w:sz w:val="20"/>
                <w:szCs w:val="20"/>
                <w:lang w:eastAsia="ja-JP"/>
              </w:rPr>
              <w:t>Name and address of Service User</w:t>
            </w:r>
          </w:p>
          <w:p w:rsidR="003D45CA" w:rsidRPr="003D45CA" w:rsidRDefault="003D45CA" w:rsidP="003D45CA">
            <w:pPr>
              <w:spacing w:after="0" w:line="240" w:lineRule="auto"/>
              <w:ind w:left="720" w:hanging="360"/>
              <w:rPr>
                <w:rFonts w:ascii="Arial" w:eastAsiaTheme="minorEastAsia" w:hAnsi="Arial" w:cs="Arial"/>
                <w:sz w:val="20"/>
                <w:szCs w:val="20"/>
                <w:lang w:eastAsia="ja-JP"/>
              </w:rPr>
            </w:pPr>
            <w:r w:rsidRPr="003D45CA">
              <w:rPr>
                <w:rFonts w:ascii="Arial" w:eastAsiaTheme="minorEastAsia" w:hAnsi="Arial" w:cs="Arial"/>
                <w:sz w:val="20"/>
                <w:szCs w:val="20"/>
                <w:lang w:eastAsia="ja-JP"/>
              </w:rPr>
              <w:t>Name and addres</w:t>
            </w:r>
            <w:r>
              <w:rPr>
                <w:rFonts w:ascii="Arial" w:eastAsiaTheme="minorEastAsia" w:hAnsi="Arial" w:cs="Arial"/>
                <w:sz w:val="20"/>
                <w:szCs w:val="20"/>
                <w:lang w:eastAsia="ja-JP"/>
              </w:rPr>
              <w:t>s of the complainant/</w:t>
            </w:r>
            <w:proofErr w:type="spellStart"/>
            <w:r>
              <w:rPr>
                <w:rFonts w:ascii="Arial" w:eastAsiaTheme="minorEastAsia" w:hAnsi="Arial" w:cs="Arial"/>
                <w:sz w:val="20"/>
                <w:szCs w:val="20"/>
                <w:lang w:eastAsia="ja-JP"/>
              </w:rPr>
              <w:t>complimenter</w:t>
            </w:r>
            <w:proofErr w:type="spellEnd"/>
            <w:r w:rsidRPr="003D45CA">
              <w:rPr>
                <w:rFonts w:ascii="Arial" w:eastAsiaTheme="minorEastAsia" w:hAnsi="Arial" w:cs="Arial"/>
                <w:sz w:val="20"/>
                <w:szCs w:val="20"/>
                <w:lang w:eastAsia="ja-JP"/>
              </w:rPr>
              <w:t xml:space="preserve"> (if different)</w:t>
            </w:r>
          </w:p>
          <w:p w:rsidR="003D45CA" w:rsidRPr="003D45CA" w:rsidRDefault="003D45CA" w:rsidP="003D45CA">
            <w:pPr>
              <w:spacing w:after="0" w:line="240" w:lineRule="auto"/>
              <w:ind w:left="720" w:hanging="360"/>
              <w:rPr>
                <w:rFonts w:ascii="Arial" w:eastAsiaTheme="minorEastAsia" w:hAnsi="Arial" w:cs="Arial"/>
                <w:sz w:val="20"/>
                <w:szCs w:val="20"/>
                <w:lang w:eastAsia="ja-JP"/>
              </w:rPr>
            </w:pPr>
            <w:r w:rsidRPr="003D45CA">
              <w:rPr>
                <w:rFonts w:ascii="Arial" w:eastAsiaTheme="minorEastAsia" w:hAnsi="Arial" w:cs="Arial"/>
                <w:sz w:val="20"/>
                <w:szCs w:val="20"/>
                <w:lang w:eastAsia="ja-JP"/>
              </w:rPr>
              <w:t>Nature of the complaint/compliment</w:t>
            </w:r>
          </w:p>
          <w:p w:rsidR="003D45CA" w:rsidRPr="003D45CA" w:rsidRDefault="003D45CA" w:rsidP="003D45CA">
            <w:pPr>
              <w:spacing w:after="0" w:line="240" w:lineRule="auto"/>
              <w:ind w:left="720" w:hanging="360"/>
              <w:rPr>
                <w:rFonts w:ascii="Arial" w:eastAsiaTheme="minorEastAsia" w:hAnsi="Arial" w:cs="Arial"/>
                <w:sz w:val="20"/>
                <w:szCs w:val="20"/>
                <w:lang w:eastAsia="ja-JP"/>
              </w:rPr>
            </w:pPr>
            <w:r w:rsidRPr="003D45CA">
              <w:rPr>
                <w:rFonts w:ascii="Arial" w:eastAsiaTheme="minorEastAsia" w:hAnsi="Arial" w:cs="Arial"/>
                <w:sz w:val="20"/>
                <w:szCs w:val="20"/>
                <w:lang w:eastAsia="ja-JP"/>
              </w:rPr>
              <w:t>Response and time taken to respond</w:t>
            </w:r>
          </w:p>
          <w:p w:rsidR="003D45CA" w:rsidRPr="003D45CA" w:rsidRDefault="003D45CA" w:rsidP="003D45CA">
            <w:pPr>
              <w:spacing w:after="0" w:line="240" w:lineRule="auto"/>
              <w:ind w:left="720" w:hanging="360"/>
              <w:rPr>
                <w:rFonts w:ascii="Arial" w:eastAsiaTheme="minorEastAsia" w:hAnsi="Arial" w:cs="Arial"/>
                <w:sz w:val="20"/>
                <w:szCs w:val="20"/>
                <w:lang w:eastAsia="ja-JP"/>
              </w:rPr>
            </w:pPr>
            <w:r w:rsidRPr="003D45CA">
              <w:rPr>
                <w:rFonts w:ascii="Arial" w:eastAsiaTheme="minorEastAsia" w:hAnsi="Arial" w:cs="Arial"/>
                <w:sz w:val="20"/>
                <w:szCs w:val="20"/>
                <w:lang w:eastAsia="ja-JP"/>
              </w:rPr>
              <w:t>The level of satisfaction of the complainant/</w:t>
            </w:r>
            <w:proofErr w:type="spellStart"/>
            <w:r w:rsidRPr="003D45CA">
              <w:rPr>
                <w:rFonts w:ascii="Arial" w:eastAsiaTheme="minorEastAsia" w:hAnsi="Arial" w:cs="Arial"/>
                <w:sz w:val="20"/>
                <w:szCs w:val="20"/>
                <w:lang w:eastAsia="ja-JP"/>
              </w:rPr>
              <w:t>complimenter</w:t>
            </w:r>
            <w:proofErr w:type="spellEnd"/>
          </w:p>
        </w:tc>
      </w:tr>
      <w:tr w:rsidR="003D45CA" w:rsidRPr="003D45CA" w:rsidTr="003D45CA">
        <w:trPr>
          <w:cantSplit/>
          <w:trHeight w:val="355"/>
        </w:trPr>
        <w:tc>
          <w:tcPr>
            <w:tcW w:w="1545"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hAnsi="Arial" w:cs="Arial"/>
                <w:sz w:val="20"/>
                <w:szCs w:val="20"/>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hAnsi="Arial" w:cs="Arial"/>
                <w:i/>
                <w:iCs/>
                <w:sz w:val="20"/>
                <w:szCs w:val="20"/>
              </w:rPr>
            </w:pPr>
          </w:p>
        </w:tc>
        <w:tc>
          <w:tcPr>
            <w:tcW w:w="4677"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6"/>
              </w:numPr>
              <w:spacing w:after="0" w:line="240" w:lineRule="auto"/>
              <w:ind w:left="219" w:hanging="219"/>
              <w:contextualSpacing/>
              <w:rPr>
                <w:rFonts w:ascii="Arial" w:hAnsi="Arial" w:cs="Arial"/>
                <w:sz w:val="20"/>
                <w:szCs w:val="20"/>
              </w:rPr>
            </w:pPr>
            <w:r w:rsidRPr="003D45CA">
              <w:rPr>
                <w:rFonts w:ascii="Arial" w:hAnsi="Arial" w:cs="Arial"/>
                <w:sz w:val="20"/>
                <w:szCs w:val="20"/>
              </w:rPr>
              <w:t xml:space="preserve">An annual summary of complaints and compliments is made available to the Commissioner.  </w:t>
            </w:r>
          </w:p>
        </w:tc>
      </w:tr>
      <w:tr w:rsidR="003D45CA" w:rsidRPr="003D45CA" w:rsidTr="003D45CA">
        <w:trPr>
          <w:cantSplit/>
          <w:trHeight w:val="355"/>
        </w:trPr>
        <w:tc>
          <w:tcPr>
            <w:tcW w:w="1545" w:type="dxa"/>
            <w:vMerge w:val="restart"/>
            <w:tcBorders>
              <w:top w:val="single" w:sz="12" w:space="0" w:color="auto"/>
              <w:left w:val="single" w:sz="12" w:space="0" w:color="auto"/>
              <w:bottom w:val="single" w:sz="12" w:space="0" w:color="auto"/>
              <w:right w:val="single" w:sz="4" w:space="0" w:color="auto"/>
            </w:tcBorders>
            <w:vAlign w:val="center"/>
          </w:tcPr>
          <w:p w:rsidR="003D45CA" w:rsidRPr="003D45CA" w:rsidRDefault="003D45CA" w:rsidP="003D45CA">
            <w:pPr>
              <w:spacing w:after="0" w:line="240" w:lineRule="auto"/>
              <w:rPr>
                <w:rFonts w:ascii="Arial" w:eastAsiaTheme="minorEastAsia" w:hAnsi="Arial" w:cs="Arial"/>
                <w:bCs/>
                <w:sz w:val="20"/>
                <w:szCs w:val="20"/>
                <w:lang w:eastAsia="ja-JP"/>
              </w:rPr>
            </w:pPr>
            <w:r w:rsidRPr="003D45CA">
              <w:rPr>
                <w:rFonts w:ascii="Arial" w:eastAsiaTheme="minorEastAsia" w:hAnsi="Arial" w:cs="Arial"/>
                <w:bCs/>
                <w:sz w:val="20"/>
                <w:szCs w:val="20"/>
                <w:lang w:eastAsia="ja-JP"/>
              </w:rPr>
              <w:t>Adult Protection</w:t>
            </w:r>
          </w:p>
          <w:p w:rsidR="003D45CA" w:rsidRPr="003D45CA" w:rsidRDefault="003D45CA" w:rsidP="003D45CA">
            <w:pPr>
              <w:spacing w:after="0" w:line="240" w:lineRule="auto"/>
              <w:ind w:left="72"/>
              <w:jc w:val="center"/>
              <w:rPr>
                <w:rFonts w:ascii="Arial" w:eastAsiaTheme="minorEastAsia" w:hAnsi="Arial" w:cs="Arial"/>
                <w:sz w:val="20"/>
                <w:szCs w:val="20"/>
                <w:lang w:eastAsia="ja-JP"/>
              </w:rPr>
            </w:pPr>
          </w:p>
        </w:tc>
        <w:tc>
          <w:tcPr>
            <w:tcW w:w="2694" w:type="dxa"/>
            <w:vMerge w:val="restart"/>
            <w:tcBorders>
              <w:top w:val="single" w:sz="12" w:space="0" w:color="auto"/>
              <w:left w:val="single" w:sz="4" w:space="0" w:color="auto"/>
              <w:bottom w:val="single" w:sz="12" w:space="0" w:color="auto"/>
              <w:right w:val="single" w:sz="4" w:space="0" w:color="auto"/>
            </w:tcBorders>
            <w:vAlign w:val="center"/>
          </w:tcPr>
          <w:p w:rsidR="003D45CA" w:rsidRPr="003D45CA" w:rsidRDefault="003D45CA" w:rsidP="003D45CA">
            <w:pPr>
              <w:spacing w:after="200" w:line="240" w:lineRule="auto"/>
              <w:ind w:left="263"/>
              <w:contextualSpacing/>
              <w:rPr>
                <w:rFonts w:ascii="Arial" w:hAnsi="Arial" w:cs="Arial"/>
                <w:sz w:val="20"/>
                <w:szCs w:val="20"/>
              </w:rPr>
            </w:pPr>
          </w:p>
          <w:p w:rsidR="003D45CA" w:rsidRPr="003D45CA" w:rsidRDefault="003D45CA" w:rsidP="003D45CA">
            <w:pPr>
              <w:numPr>
                <w:ilvl w:val="0"/>
                <w:numId w:val="7"/>
              </w:numPr>
              <w:spacing w:after="200" w:line="240" w:lineRule="auto"/>
              <w:ind w:left="263" w:hanging="283"/>
              <w:contextualSpacing/>
              <w:rPr>
                <w:rFonts w:ascii="Arial" w:hAnsi="Arial" w:cs="Arial"/>
                <w:sz w:val="20"/>
                <w:szCs w:val="20"/>
              </w:rPr>
            </w:pPr>
            <w:r w:rsidRPr="003D45CA">
              <w:rPr>
                <w:rFonts w:ascii="Arial" w:hAnsi="Arial" w:cs="Arial"/>
                <w:sz w:val="20"/>
                <w:szCs w:val="20"/>
              </w:rPr>
              <w:t>Patients are protected from abuse, neglect and self-harm</w:t>
            </w:r>
          </w:p>
          <w:p w:rsidR="003D45CA" w:rsidRPr="003D45CA" w:rsidRDefault="003D45CA" w:rsidP="003D45CA">
            <w:pPr>
              <w:spacing w:after="0" w:line="240" w:lineRule="auto"/>
              <w:rPr>
                <w:rFonts w:ascii="Arial" w:eastAsiaTheme="minorEastAsia" w:hAnsi="Arial" w:cs="Arial"/>
                <w:sz w:val="20"/>
                <w:szCs w:val="20"/>
                <w:lang w:eastAsia="ja-JP"/>
              </w:rPr>
            </w:pPr>
          </w:p>
        </w:tc>
        <w:tc>
          <w:tcPr>
            <w:tcW w:w="4677" w:type="dxa"/>
            <w:tcBorders>
              <w:top w:val="single" w:sz="12"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8"/>
              </w:numPr>
              <w:spacing w:after="0" w:line="240" w:lineRule="auto"/>
              <w:ind w:left="219" w:hanging="219"/>
              <w:contextualSpacing/>
              <w:rPr>
                <w:rFonts w:ascii="Arial" w:hAnsi="Arial" w:cs="Arial"/>
                <w:sz w:val="20"/>
                <w:szCs w:val="20"/>
              </w:rPr>
            </w:pPr>
            <w:r w:rsidRPr="003D45CA">
              <w:rPr>
                <w:rFonts w:ascii="Arial" w:hAnsi="Arial" w:cs="Arial"/>
                <w:sz w:val="20"/>
                <w:szCs w:val="20"/>
              </w:rPr>
              <w:t xml:space="preserve">Ensure robust procedures are in place to respond to suspicion or evidence (including “whistle-blowing”) </w:t>
            </w:r>
          </w:p>
        </w:tc>
      </w:tr>
      <w:tr w:rsidR="003D45CA" w:rsidRPr="003D45CA" w:rsidTr="003D45CA">
        <w:trPr>
          <w:cantSplit/>
          <w:trHeight w:val="355"/>
        </w:trPr>
        <w:tc>
          <w:tcPr>
            <w:tcW w:w="1545"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0"/>
                <w:szCs w:val="20"/>
                <w:lang w:eastAsia="ja-JP"/>
              </w:rPr>
            </w:pPr>
          </w:p>
        </w:tc>
        <w:tc>
          <w:tcPr>
            <w:tcW w:w="4677"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8"/>
              </w:numPr>
              <w:spacing w:after="0" w:line="240" w:lineRule="auto"/>
              <w:ind w:left="219" w:hanging="219"/>
              <w:contextualSpacing/>
              <w:rPr>
                <w:rFonts w:ascii="Arial" w:hAnsi="Arial" w:cs="Arial"/>
                <w:color w:val="000000"/>
                <w:sz w:val="20"/>
                <w:szCs w:val="20"/>
              </w:rPr>
            </w:pPr>
            <w:r w:rsidRPr="003D45CA">
              <w:rPr>
                <w:rFonts w:ascii="Arial" w:hAnsi="Arial" w:cs="Arial"/>
                <w:color w:val="000000"/>
                <w:sz w:val="20"/>
                <w:szCs w:val="20"/>
              </w:rPr>
              <w:t>Policy and procedures in place regarding suspected abuse and the multi-agency adult protection ‘No Secrets’ protocol which is compliant with obligations in the Data Protection Act 1998 and duties of confidentiality</w:t>
            </w:r>
          </w:p>
        </w:tc>
      </w:tr>
      <w:tr w:rsidR="003D45CA" w:rsidRPr="003D45CA" w:rsidTr="003D45CA">
        <w:trPr>
          <w:cantSplit/>
          <w:trHeight w:val="355"/>
        </w:trPr>
        <w:tc>
          <w:tcPr>
            <w:tcW w:w="1545"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4"/>
                <w:szCs w:val="24"/>
                <w:lang w:eastAsia="ja-JP"/>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lang w:eastAsia="ja-JP"/>
              </w:rPr>
            </w:pPr>
          </w:p>
        </w:tc>
        <w:tc>
          <w:tcPr>
            <w:tcW w:w="4677"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tabs>
                <w:tab w:val="num" w:pos="219"/>
              </w:tabs>
              <w:spacing w:after="0" w:line="240" w:lineRule="auto"/>
              <w:ind w:left="219" w:hanging="219"/>
              <w:rPr>
                <w:rFonts w:ascii="Arial" w:eastAsiaTheme="minorEastAsia" w:hAnsi="Arial" w:cs="Arial"/>
                <w:lang w:eastAsia="ja-JP"/>
              </w:rPr>
            </w:pPr>
            <w:r w:rsidRPr="003D45CA">
              <w:rPr>
                <w:rFonts w:ascii="Arial" w:eastAsiaTheme="minorEastAsia" w:hAnsi="Arial" w:cs="Arial"/>
                <w:lang w:eastAsia="ja-JP"/>
              </w:rPr>
              <w:t>The provider will co-operate fully with any adult protection plan instigated.</w:t>
            </w:r>
          </w:p>
        </w:tc>
      </w:tr>
      <w:tr w:rsidR="003D45CA" w:rsidRPr="003D45CA" w:rsidTr="003D45CA">
        <w:trPr>
          <w:cantSplit/>
          <w:trHeight w:val="355"/>
        </w:trPr>
        <w:tc>
          <w:tcPr>
            <w:tcW w:w="1545"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4"/>
                <w:szCs w:val="24"/>
                <w:lang w:eastAsia="ja-JP"/>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lang w:eastAsia="ja-JP"/>
              </w:rPr>
            </w:pPr>
          </w:p>
        </w:tc>
        <w:tc>
          <w:tcPr>
            <w:tcW w:w="4677" w:type="dxa"/>
            <w:tcBorders>
              <w:top w:val="single" w:sz="4" w:space="0" w:color="auto"/>
              <w:left w:val="single" w:sz="4" w:space="0" w:color="auto"/>
              <w:bottom w:val="single" w:sz="4" w:space="0" w:color="auto"/>
              <w:right w:val="single" w:sz="12" w:space="0" w:color="auto"/>
            </w:tcBorders>
            <w:vAlign w:val="center"/>
            <w:hideMark/>
          </w:tcPr>
          <w:p w:rsidR="003D45CA" w:rsidRPr="003D45CA" w:rsidRDefault="003D45CA" w:rsidP="003D45CA">
            <w:pPr>
              <w:numPr>
                <w:ilvl w:val="0"/>
                <w:numId w:val="1"/>
              </w:numPr>
              <w:tabs>
                <w:tab w:val="num" w:pos="219"/>
              </w:tabs>
              <w:spacing w:after="0" w:line="240" w:lineRule="auto"/>
              <w:ind w:left="219" w:hanging="219"/>
              <w:rPr>
                <w:rFonts w:ascii="Arial" w:eastAsiaTheme="minorEastAsia" w:hAnsi="Arial" w:cs="Arial"/>
                <w:lang w:eastAsia="ja-JP"/>
              </w:rPr>
            </w:pPr>
            <w:r w:rsidRPr="003D45CA">
              <w:rPr>
                <w:rFonts w:ascii="Arial" w:eastAsiaTheme="minorEastAsia" w:hAnsi="Arial" w:cs="Arial"/>
                <w:lang w:eastAsia="ja-JP"/>
              </w:rPr>
              <w:t>Vulnerable adult /adult protection training is explicitly included in staff induction and basic training for all staff.</w:t>
            </w:r>
          </w:p>
        </w:tc>
      </w:tr>
      <w:tr w:rsidR="003D45CA" w:rsidRPr="003D45CA" w:rsidTr="003D45CA">
        <w:trPr>
          <w:cantSplit/>
          <w:trHeight w:val="355"/>
        </w:trPr>
        <w:tc>
          <w:tcPr>
            <w:tcW w:w="1545" w:type="dxa"/>
            <w:vMerge/>
            <w:tcBorders>
              <w:top w:val="single" w:sz="12" w:space="0" w:color="auto"/>
              <w:left w:val="single" w:sz="12"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sz w:val="24"/>
                <w:szCs w:val="24"/>
                <w:lang w:eastAsia="ja-JP"/>
              </w:rPr>
            </w:pPr>
          </w:p>
        </w:tc>
        <w:tc>
          <w:tcPr>
            <w:tcW w:w="2694" w:type="dxa"/>
            <w:vMerge/>
            <w:tcBorders>
              <w:top w:val="single" w:sz="12" w:space="0" w:color="auto"/>
              <w:left w:val="single" w:sz="4" w:space="0" w:color="auto"/>
              <w:bottom w:val="single" w:sz="12" w:space="0" w:color="auto"/>
              <w:right w:val="single" w:sz="4" w:space="0" w:color="auto"/>
            </w:tcBorders>
            <w:vAlign w:val="center"/>
            <w:hideMark/>
          </w:tcPr>
          <w:p w:rsidR="003D45CA" w:rsidRPr="003D45CA" w:rsidRDefault="003D45CA" w:rsidP="003D45CA">
            <w:pPr>
              <w:spacing w:after="0" w:line="240" w:lineRule="auto"/>
              <w:rPr>
                <w:rFonts w:ascii="Arial" w:eastAsiaTheme="minorEastAsia" w:hAnsi="Arial" w:cs="Arial"/>
                <w:lang w:eastAsia="ja-JP"/>
              </w:rPr>
            </w:pPr>
          </w:p>
        </w:tc>
        <w:tc>
          <w:tcPr>
            <w:tcW w:w="4677" w:type="dxa"/>
            <w:tcBorders>
              <w:top w:val="single" w:sz="4" w:space="0" w:color="auto"/>
              <w:left w:val="single" w:sz="4" w:space="0" w:color="auto"/>
              <w:bottom w:val="single" w:sz="12" w:space="0" w:color="auto"/>
              <w:right w:val="single" w:sz="12" w:space="0" w:color="auto"/>
            </w:tcBorders>
            <w:vAlign w:val="center"/>
            <w:hideMark/>
          </w:tcPr>
          <w:p w:rsidR="003D45CA" w:rsidRPr="003D45CA" w:rsidRDefault="003D45CA" w:rsidP="003D45CA">
            <w:pPr>
              <w:numPr>
                <w:ilvl w:val="0"/>
                <w:numId w:val="1"/>
              </w:numPr>
              <w:tabs>
                <w:tab w:val="num" w:pos="219"/>
              </w:tabs>
              <w:spacing w:after="0" w:line="240" w:lineRule="auto"/>
              <w:ind w:left="219" w:hanging="219"/>
              <w:rPr>
                <w:rFonts w:ascii="Arial" w:eastAsiaTheme="minorEastAsia" w:hAnsi="Arial" w:cs="Arial"/>
                <w:lang w:eastAsia="ja-JP"/>
              </w:rPr>
            </w:pPr>
            <w:r w:rsidRPr="003D45CA">
              <w:rPr>
                <w:rFonts w:ascii="Arial" w:eastAsiaTheme="minorEastAsia" w:hAnsi="Arial" w:cs="Arial"/>
                <w:lang w:eastAsia="ja-JP"/>
              </w:rPr>
              <w:t>Inform the commissioner of any adult protection investigation within the provider service</w:t>
            </w:r>
          </w:p>
        </w:tc>
      </w:tr>
    </w:tbl>
    <w:p w:rsidR="003D45CA" w:rsidRDefault="003D45CA"/>
    <w:sectPr w:rsidR="003D45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699" w:rsidRDefault="00ED5699" w:rsidP="003D45CA">
      <w:pPr>
        <w:spacing w:after="0" w:line="240" w:lineRule="auto"/>
      </w:pPr>
      <w:r>
        <w:separator/>
      </w:r>
    </w:p>
  </w:endnote>
  <w:endnote w:type="continuationSeparator" w:id="0">
    <w:p w:rsidR="00ED5699" w:rsidRDefault="00ED5699" w:rsidP="003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699" w:rsidRDefault="00ED5699" w:rsidP="003D45CA">
      <w:pPr>
        <w:spacing w:after="0" w:line="240" w:lineRule="auto"/>
      </w:pPr>
      <w:r>
        <w:separator/>
      </w:r>
    </w:p>
  </w:footnote>
  <w:footnote w:type="continuationSeparator" w:id="0">
    <w:p w:rsidR="00ED5699" w:rsidRDefault="00ED5699" w:rsidP="003D4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5CA" w:rsidRDefault="003D45CA" w:rsidP="003D45CA">
    <w:pPr>
      <w:pStyle w:val="Header"/>
      <w:jc w:val="right"/>
    </w:pPr>
    <w: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0FC4"/>
    <w:multiLevelType w:val="hybridMultilevel"/>
    <w:tmpl w:val="9FD89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9B5C6D"/>
    <w:multiLevelType w:val="hybridMultilevel"/>
    <w:tmpl w:val="64DE0B40"/>
    <w:lvl w:ilvl="0" w:tplc="21BEF350">
      <w:start w:val="1"/>
      <w:numFmt w:val="bullet"/>
      <w:lvlText w:val=""/>
      <w:lvlJc w:val="left"/>
      <w:pPr>
        <w:tabs>
          <w:tab w:val="num" w:pos="501"/>
        </w:tabs>
        <w:ind w:left="501"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014F9C"/>
    <w:multiLevelType w:val="hybridMultilevel"/>
    <w:tmpl w:val="A1B650BE"/>
    <w:lvl w:ilvl="0" w:tplc="A7F2908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976515"/>
    <w:multiLevelType w:val="hybridMultilevel"/>
    <w:tmpl w:val="019876FE"/>
    <w:lvl w:ilvl="0" w:tplc="A7F2908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834C37"/>
    <w:multiLevelType w:val="hybridMultilevel"/>
    <w:tmpl w:val="2E0E2076"/>
    <w:lvl w:ilvl="0" w:tplc="A7F2908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B12A69"/>
    <w:multiLevelType w:val="hybridMultilevel"/>
    <w:tmpl w:val="516AE6A0"/>
    <w:lvl w:ilvl="0" w:tplc="5B74DF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6EC3D22"/>
    <w:multiLevelType w:val="hybridMultilevel"/>
    <w:tmpl w:val="F82A2C3E"/>
    <w:lvl w:ilvl="0" w:tplc="A7F2908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796DAB"/>
    <w:multiLevelType w:val="hybridMultilevel"/>
    <w:tmpl w:val="0EA41000"/>
    <w:lvl w:ilvl="0" w:tplc="A7F2908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CA"/>
    <w:rsid w:val="000F0F6E"/>
    <w:rsid w:val="003D45CA"/>
    <w:rsid w:val="00740627"/>
    <w:rsid w:val="00DC02E2"/>
    <w:rsid w:val="00ED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F8EC"/>
  <w15:chartTrackingRefBased/>
  <w15:docId w15:val="{D6F64C21-1291-436B-A382-72105841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5CA"/>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5CA"/>
  </w:style>
  <w:style w:type="paragraph" w:styleId="Footer">
    <w:name w:val="footer"/>
    <w:basedOn w:val="Normal"/>
    <w:link w:val="FooterChar"/>
    <w:uiPriority w:val="99"/>
    <w:unhideWhenUsed/>
    <w:rsid w:val="003D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Pedley</dc:creator>
  <cp:keywords/>
  <dc:description/>
  <cp:lastModifiedBy>Jade</cp:lastModifiedBy>
  <cp:revision>1</cp:revision>
  <dcterms:created xsi:type="dcterms:W3CDTF">2021-04-20T14:26:00Z</dcterms:created>
  <dcterms:modified xsi:type="dcterms:W3CDTF">2021-04-20T14:26:00Z</dcterms:modified>
</cp:coreProperties>
</file>