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86" w:rsidRPr="00720E24" w:rsidRDefault="001E39AE" w:rsidP="005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Using CQC Rating to inform Quality score</w:t>
      </w:r>
    </w:p>
    <w:p w:rsidR="00B1022F" w:rsidRDefault="00B1022F" w:rsidP="00B1022F">
      <w:pPr>
        <w:spacing w:after="0" w:line="120" w:lineRule="auto"/>
        <w:rPr>
          <w:u w:val="single"/>
        </w:rPr>
      </w:pPr>
    </w:p>
    <w:p w:rsidR="001E39AE" w:rsidRDefault="001E39AE" w:rsidP="007D3A36">
      <w:pPr>
        <w:pStyle w:val="ListParagraph"/>
        <w:spacing w:after="0"/>
        <w:ind w:left="0"/>
        <w:rPr>
          <w:rFonts w:cstheme="minorHAnsi"/>
        </w:rPr>
      </w:pPr>
      <w:r>
        <w:rPr>
          <w:rFonts w:cstheme="minorHAnsi"/>
        </w:rPr>
        <w:t>This document outlines how Brighton and Hove City Council will use providers’ CQC ratings to determine their Quality score when tendering for Home Care (</w:t>
      </w:r>
      <w:r w:rsidR="00D059D5">
        <w:rPr>
          <w:rFonts w:cstheme="minorHAnsi"/>
        </w:rPr>
        <w:t>Home Support) via the Dynamic Purchasing System (DPS).</w:t>
      </w:r>
    </w:p>
    <w:p w:rsidR="00B1022F" w:rsidRDefault="00B1022F" w:rsidP="00B1022F">
      <w:pPr>
        <w:spacing w:after="0" w:line="120" w:lineRule="auto"/>
        <w:rPr>
          <w:u w:val="single"/>
        </w:rPr>
      </w:pPr>
    </w:p>
    <w:p w:rsidR="00D059D5" w:rsidRDefault="00D059D5" w:rsidP="00D059D5">
      <w:pPr>
        <w:spacing w:after="0"/>
      </w:pPr>
      <w:r>
        <w:t xml:space="preserve">Successfully enrolled providers on the DPS will be able to submit offers for individual home care packages. Providers will be required to meet a set of minimum standards to proceed to full evaluation. Offers will then be evaluated using a 60% Quality and 40% Price split. </w:t>
      </w:r>
    </w:p>
    <w:p w:rsidR="00B1022F" w:rsidRDefault="00B1022F" w:rsidP="00B1022F">
      <w:pPr>
        <w:spacing w:after="0" w:line="120" w:lineRule="auto"/>
        <w:rPr>
          <w:u w:val="single"/>
        </w:rPr>
      </w:pPr>
    </w:p>
    <w:p w:rsidR="00D059D5" w:rsidRPr="00D059D5" w:rsidRDefault="00D059D5" w:rsidP="00D059D5">
      <w:pPr>
        <w:spacing w:after="0"/>
      </w:pPr>
      <w:r>
        <w:t>At the time of writing, Quality will be evaluated using providers’ CQC rating. The Council intends to review the evaluation criteria during the life of the DPS.</w:t>
      </w:r>
    </w:p>
    <w:p w:rsidR="00B1022F" w:rsidRDefault="00B1022F" w:rsidP="00B1022F">
      <w:pPr>
        <w:spacing w:after="0" w:line="120" w:lineRule="auto"/>
        <w:rPr>
          <w:u w:val="single"/>
        </w:rPr>
      </w:pPr>
    </w:p>
    <w:p w:rsidR="00D059D5" w:rsidRPr="00D059D5" w:rsidRDefault="00D059D5" w:rsidP="00D0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/>
        <w:rPr>
          <w:rFonts w:cstheme="minorHAnsi"/>
          <w:b/>
        </w:rPr>
      </w:pPr>
      <w:r>
        <w:rPr>
          <w:rFonts w:cstheme="minorHAnsi"/>
          <w:b/>
        </w:rPr>
        <w:t>CQC Rating System</w:t>
      </w:r>
    </w:p>
    <w:p w:rsidR="00B1022F" w:rsidRDefault="00B1022F" w:rsidP="00B1022F">
      <w:pPr>
        <w:spacing w:after="0" w:line="120" w:lineRule="auto"/>
        <w:rPr>
          <w:u w:val="single"/>
        </w:rPr>
      </w:pPr>
    </w:p>
    <w:p w:rsidR="00D059D5" w:rsidRPr="00D059D5" w:rsidRDefault="00AF4086" w:rsidP="00D059D5">
      <w:pPr>
        <w:pStyle w:val="ListParagraph"/>
        <w:spacing w:after="0"/>
        <w:ind w:left="0"/>
        <w:rPr>
          <w:rFonts w:cstheme="minorHAnsi"/>
        </w:rPr>
      </w:pPr>
      <w:r w:rsidRPr="00720E24">
        <w:rPr>
          <w:rFonts w:cstheme="minorHAnsi"/>
        </w:rPr>
        <w:t>Currently there are two CQC quality models in use</w:t>
      </w:r>
      <w:r w:rsidR="00D059D5">
        <w:rPr>
          <w:rFonts w:cstheme="minorHAnsi"/>
        </w:rPr>
        <w:t xml:space="preserve"> nationally</w:t>
      </w:r>
      <w:r w:rsidR="00D5165A" w:rsidRPr="00720E24">
        <w:rPr>
          <w:rFonts w:cstheme="minorHAnsi"/>
        </w:rPr>
        <w:t>,</w:t>
      </w:r>
      <w:r w:rsidRPr="00720E24">
        <w:rPr>
          <w:rFonts w:cstheme="minorHAnsi"/>
        </w:rPr>
        <w:t xml:space="preserve"> the old and new model. </w:t>
      </w:r>
      <w:r w:rsidR="007653EE" w:rsidRPr="00720E24">
        <w:rPr>
          <w:rFonts w:cstheme="minorHAnsi"/>
        </w:rPr>
        <w:t xml:space="preserve">  </w:t>
      </w:r>
      <w:r w:rsidR="00870225" w:rsidRPr="00720E24">
        <w:rPr>
          <w:rFonts w:cstheme="minorHAnsi"/>
        </w:rPr>
        <w:t xml:space="preserve">From April 2014 </w:t>
      </w:r>
      <w:r w:rsidR="007653EE" w:rsidRPr="00720E24">
        <w:rPr>
          <w:rFonts w:cstheme="minorHAnsi"/>
        </w:rPr>
        <w:t xml:space="preserve">CQC changed the way that they rate </w:t>
      </w:r>
      <w:r w:rsidR="00796738" w:rsidRPr="00720E24">
        <w:rPr>
          <w:rFonts w:cstheme="minorHAnsi"/>
        </w:rPr>
        <w:t>services.</w:t>
      </w:r>
      <w:r w:rsidR="00870225" w:rsidRPr="00720E24">
        <w:rPr>
          <w:rFonts w:cstheme="minorHAnsi"/>
        </w:rPr>
        <w:t xml:space="preserve">  </w:t>
      </w:r>
      <w:r w:rsidR="00796738" w:rsidRPr="00720E24">
        <w:rPr>
          <w:rFonts w:cstheme="minorHAnsi"/>
        </w:rPr>
        <w:t xml:space="preserve"> </w:t>
      </w:r>
      <w:r w:rsidR="00870225" w:rsidRPr="00720E24">
        <w:rPr>
          <w:rFonts w:cstheme="minorHAnsi"/>
        </w:rPr>
        <w:t>The old system is being phased out</w:t>
      </w:r>
      <w:r w:rsidR="004053CC" w:rsidRPr="00720E24">
        <w:rPr>
          <w:rFonts w:cstheme="minorHAnsi"/>
        </w:rPr>
        <w:t xml:space="preserve">, but </w:t>
      </w:r>
      <w:r w:rsidR="00D059D5">
        <w:rPr>
          <w:rFonts w:cstheme="minorHAnsi"/>
        </w:rPr>
        <w:t>some providers are yet to be inspected under the new regime.</w:t>
      </w:r>
    </w:p>
    <w:p w:rsidR="00D059D5" w:rsidRDefault="00D059D5" w:rsidP="00B1022F">
      <w:pPr>
        <w:spacing w:after="0" w:line="120" w:lineRule="auto"/>
        <w:rPr>
          <w:u w:val="single"/>
        </w:rPr>
      </w:pPr>
    </w:p>
    <w:p w:rsidR="00D059D5" w:rsidRDefault="00D059D5" w:rsidP="007D3A36">
      <w:pPr>
        <w:spacing w:after="0"/>
      </w:pPr>
      <w:r>
        <w:t>Each of the five elements of a provider’s CQC rating will be given a score in accordance with the tables below. These scores will added together to give that provider’s overall score for Quality</w:t>
      </w:r>
      <w:r w:rsidR="00472EE0">
        <w:t xml:space="preserve"> out of 60</w:t>
      </w:r>
      <w:r>
        <w:t xml:space="preserve">. </w:t>
      </w:r>
    </w:p>
    <w:p w:rsidR="00B1022F" w:rsidRDefault="00B1022F" w:rsidP="00B1022F">
      <w:pPr>
        <w:spacing w:after="0" w:line="120" w:lineRule="auto"/>
        <w:rPr>
          <w:u w:val="single"/>
        </w:rPr>
      </w:pPr>
    </w:p>
    <w:tbl>
      <w:tblPr>
        <w:tblW w:w="9891" w:type="dxa"/>
        <w:tblInd w:w="392" w:type="dxa"/>
        <w:tblLook w:val="04A0" w:firstRow="1" w:lastRow="0" w:firstColumn="1" w:lastColumn="0" w:noHBand="0" w:noVBand="1"/>
      </w:tblPr>
      <w:tblGrid>
        <w:gridCol w:w="4238"/>
        <w:gridCol w:w="1127"/>
        <w:gridCol w:w="921"/>
        <w:gridCol w:w="1217"/>
        <w:gridCol w:w="1116"/>
        <w:gridCol w:w="1272"/>
      </w:tblGrid>
      <w:tr w:rsidR="00472EE0" w:rsidRPr="00AF4086" w:rsidTr="0057077E">
        <w:trPr>
          <w:trHeight w:val="435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186" w:rsidRPr="00472EE0" w:rsidRDefault="00372186" w:rsidP="00472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2EE0">
              <w:rPr>
                <w:rFonts w:ascii="Calibri" w:eastAsia="Times New Roman" w:hAnsi="Calibri" w:cs="Calibri"/>
                <w:b/>
                <w:bCs/>
                <w:color w:val="000000"/>
              </w:rPr>
              <w:t>New model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72186" w:rsidRDefault="00372186" w:rsidP="00372186">
            <w:pPr>
              <w:spacing w:after="0"/>
              <w:jc w:val="center"/>
              <w:rPr>
                <w:rFonts w:ascii="Wingdings" w:hAnsi="Wingdings" w:cs="Calibri"/>
                <w:color w:val="00B050"/>
                <w:sz w:val="18"/>
                <w:szCs w:val="18"/>
              </w:rPr>
            </w:pPr>
            <w:r w:rsidRPr="004A3FD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6CFD66" wp14:editId="174205FA">
                  <wp:extent cx="180975" cy="171450"/>
                  <wp:effectExtent l="0" t="0" r="9525" b="0"/>
                  <wp:docPr id="30" name="Picture 30" descr="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EE0" w:rsidRDefault="00472EE0" w:rsidP="0037218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72EE0">
              <w:rPr>
                <w:rFonts w:cstheme="minorHAnsi"/>
                <w:sz w:val="18"/>
                <w:szCs w:val="18"/>
              </w:rPr>
              <w:t>Outstanding</w:t>
            </w:r>
          </w:p>
          <w:p w:rsidR="00472EE0" w:rsidRPr="00472EE0" w:rsidRDefault="00472EE0" w:rsidP="00372186">
            <w:pPr>
              <w:spacing w:after="0"/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72186" w:rsidRDefault="00A91D92" w:rsidP="0037218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33350"/>
                  <wp:effectExtent l="0" t="0" r="9525" b="0"/>
                  <wp:docPr id="5" name="Picture 5" descr="Green smar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een smar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EE0" w:rsidRDefault="00472EE0" w:rsidP="0037218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Good</w:t>
            </w:r>
          </w:p>
          <w:p w:rsidR="00472EE0" w:rsidRPr="00AF4086" w:rsidRDefault="00472EE0" w:rsidP="0037218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72186" w:rsidRDefault="00A91D92" w:rsidP="0037218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33350"/>
                  <wp:effectExtent l="0" t="0" r="9525" b="0"/>
                  <wp:docPr id="6" name="Picture 6" descr="Yellow smar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ellow smar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EE0" w:rsidRPr="00AF4086" w:rsidRDefault="00472EE0" w:rsidP="0037218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Requires Improvement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72186" w:rsidRDefault="00A91D92" w:rsidP="0037218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33350"/>
                  <wp:effectExtent l="0" t="0" r="9525" b="0"/>
                  <wp:docPr id="7" name="Picture 7" descr="Red smar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d smar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EE0" w:rsidRDefault="00472EE0" w:rsidP="0037218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Inadequate</w:t>
            </w:r>
          </w:p>
          <w:p w:rsidR="00472EE0" w:rsidRPr="00AF4086" w:rsidRDefault="00472EE0" w:rsidP="0037218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72186" w:rsidRDefault="00A91D92" w:rsidP="0037218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42875" cy="133350"/>
                  <wp:effectExtent l="0" t="0" r="9525" b="0"/>
                  <wp:docPr id="8" name="Picture 8" descr="Grey smart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ey smart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EE0" w:rsidRDefault="00472EE0" w:rsidP="0037218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rating</w:t>
            </w:r>
          </w:p>
          <w:p w:rsidR="00472EE0" w:rsidRPr="00AF4086" w:rsidRDefault="00472EE0" w:rsidP="00372186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72EE0" w:rsidRPr="00D223EA" w:rsidTr="0057077E">
        <w:trPr>
          <w:trHeight w:val="461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86" w:rsidRPr="00DB599F" w:rsidRDefault="00372186" w:rsidP="00472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372186" w:rsidP="00472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372186" w:rsidP="00472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372186" w:rsidP="00472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2EE0" w:rsidRPr="00D223EA" w:rsidTr="0057077E">
        <w:trPr>
          <w:trHeight w:val="182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86" w:rsidRPr="00DB599F" w:rsidRDefault="00372186" w:rsidP="00472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Effective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372186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372186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2EE0" w:rsidRPr="00D223EA" w:rsidTr="0057077E">
        <w:trPr>
          <w:trHeight w:val="182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86" w:rsidRPr="00DB599F" w:rsidRDefault="00372186" w:rsidP="00472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Caring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372186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372186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2EE0" w:rsidRPr="00D223EA" w:rsidTr="0057077E">
        <w:trPr>
          <w:trHeight w:val="182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86" w:rsidRPr="00DB599F" w:rsidRDefault="00372186" w:rsidP="00472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Responsive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372186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372186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72EE0" w:rsidRPr="00D223EA" w:rsidTr="0057077E">
        <w:trPr>
          <w:trHeight w:val="402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86" w:rsidRPr="00DB599F" w:rsidRDefault="00372186" w:rsidP="00472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59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Well led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372186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372186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6" w:rsidRPr="00D223EA" w:rsidRDefault="008600D7" w:rsidP="00472E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B1022F" w:rsidRDefault="00B1022F" w:rsidP="00B1022F">
      <w:pPr>
        <w:spacing w:after="0" w:line="120" w:lineRule="auto"/>
        <w:rPr>
          <w:u w:val="single"/>
        </w:rPr>
      </w:pPr>
    </w:p>
    <w:tbl>
      <w:tblPr>
        <w:tblW w:w="9934" w:type="dxa"/>
        <w:tblInd w:w="392" w:type="dxa"/>
        <w:tblLook w:val="04A0" w:firstRow="1" w:lastRow="0" w:firstColumn="1" w:lastColumn="0" w:noHBand="0" w:noVBand="1"/>
      </w:tblPr>
      <w:tblGrid>
        <w:gridCol w:w="6315"/>
        <w:gridCol w:w="1152"/>
        <w:gridCol w:w="1151"/>
        <w:gridCol w:w="1316"/>
      </w:tblGrid>
      <w:tr w:rsidR="00472EE0" w:rsidRPr="00D223EA" w:rsidTr="0057077E">
        <w:trPr>
          <w:trHeight w:val="574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72EE0" w:rsidRPr="00472EE0" w:rsidRDefault="00472EE0" w:rsidP="00472E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B599F">
              <w:rPr>
                <w:rFonts w:ascii="Calibri" w:eastAsia="Times New Roman" w:hAnsi="Calibri" w:cs="Calibri"/>
                <w:b/>
                <w:bCs/>
                <w:color w:val="000000"/>
              </w:rPr>
              <w:t>Old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odel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72EE0" w:rsidRPr="00D223EA" w:rsidRDefault="00472EE0" w:rsidP="00472EE0">
            <w:pPr>
              <w:spacing w:after="0"/>
              <w:jc w:val="center"/>
            </w:pPr>
            <w:r w:rsidRPr="00AF4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992567" wp14:editId="483C8BE0">
                  <wp:extent cx="238125" cy="209550"/>
                  <wp:effectExtent l="0" t="0" r="9525" b="0"/>
                  <wp:docPr id="9" name="Picture 9" descr="http://www.cqc.org.uk/sites/all/themes/cqc/images/status_ticks/green_tick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qc.org.uk/sites/all/themes/cqc/images/status_ticks/green_tick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72EE0" w:rsidRPr="00D223EA" w:rsidRDefault="00472EE0" w:rsidP="00472EE0">
            <w:pPr>
              <w:spacing w:after="0"/>
              <w:jc w:val="center"/>
            </w:pPr>
            <w:r w:rsidRPr="00AF4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CEF7B4" wp14:editId="00019162">
                  <wp:extent cx="200025" cy="200025"/>
                  <wp:effectExtent l="0" t="0" r="9525" b="9525"/>
                  <wp:docPr id="10" name="Picture 10" descr="http://www.cqc.org.uk/sites/all/themes/cqc/images/status_ticks/grey_cross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qc.org.uk/sites/all/themes/cqc/images/status_ticks/grey_cross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472EE0" w:rsidRPr="00D223EA" w:rsidRDefault="00472EE0" w:rsidP="00472EE0">
            <w:pPr>
              <w:spacing w:after="0"/>
              <w:jc w:val="center"/>
            </w:pPr>
            <w:r w:rsidRPr="00AF408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32F9AC" wp14:editId="59A1279B">
                  <wp:extent cx="228600" cy="228600"/>
                  <wp:effectExtent l="0" t="0" r="0" b="0"/>
                  <wp:docPr id="11" name="Picture 11" descr="http://www.cqc.org.uk/sites/all/themes/cqc/images/status_ticks/red_cross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qc.org.uk/sites/all/themes/cqc/images/status_ticks/red_cross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EE0" w:rsidRPr="00D223EA" w:rsidTr="0057077E">
        <w:trPr>
          <w:trHeight w:val="46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E0" w:rsidRPr="00472EE0" w:rsidRDefault="00472EE0" w:rsidP="004D1F30">
            <w:pPr>
              <w:spacing w:after="0"/>
              <w:rPr>
                <w:sz w:val="20"/>
                <w:szCs w:val="20"/>
              </w:rPr>
            </w:pPr>
            <w:r w:rsidRPr="00472E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Treating people with respect and involving them in their care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5</w:t>
            </w:r>
          </w:p>
        </w:tc>
      </w:tr>
      <w:tr w:rsidR="00472EE0" w:rsidRPr="00D223EA" w:rsidTr="0057077E">
        <w:trPr>
          <w:trHeight w:val="46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E0" w:rsidRPr="00472EE0" w:rsidRDefault="00472EE0" w:rsidP="004D1F30">
            <w:pPr>
              <w:spacing w:after="0"/>
              <w:rPr>
                <w:sz w:val="20"/>
                <w:szCs w:val="20"/>
              </w:rPr>
            </w:pPr>
            <w:r w:rsidRPr="00472E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Providing care, treatment and support that meets people's needs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5</w:t>
            </w:r>
          </w:p>
        </w:tc>
      </w:tr>
      <w:tr w:rsidR="00472EE0" w:rsidRPr="00D223EA" w:rsidTr="0057077E">
        <w:trPr>
          <w:trHeight w:val="46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E0" w:rsidRPr="00472EE0" w:rsidRDefault="00472EE0" w:rsidP="004D1F30">
            <w:pPr>
              <w:spacing w:after="0"/>
              <w:rPr>
                <w:sz w:val="20"/>
                <w:szCs w:val="20"/>
              </w:rPr>
            </w:pPr>
            <w:r w:rsidRPr="00472E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Caring for people safely and protecting them from harm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5</w:t>
            </w:r>
          </w:p>
        </w:tc>
      </w:tr>
      <w:tr w:rsidR="00472EE0" w:rsidRPr="00D223EA" w:rsidTr="0057077E">
        <w:trPr>
          <w:trHeight w:val="46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E0" w:rsidRPr="00472EE0" w:rsidRDefault="00472EE0" w:rsidP="004D1F30">
            <w:pPr>
              <w:spacing w:after="0"/>
              <w:rPr>
                <w:sz w:val="20"/>
                <w:szCs w:val="20"/>
              </w:rPr>
            </w:pPr>
            <w:r w:rsidRPr="00472E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Staffing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5</w:t>
            </w:r>
          </w:p>
        </w:tc>
      </w:tr>
      <w:tr w:rsidR="00472EE0" w:rsidRPr="00D223EA" w:rsidTr="0057077E">
        <w:trPr>
          <w:trHeight w:val="46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EE0" w:rsidRPr="00472EE0" w:rsidRDefault="00472EE0" w:rsidP="004D1F30">
            <w:pPr>
              <w:spacing w:after="0"/>
              <w:rPr>
                <w:sz w:val="20"/>
                <w:szCs w:val="20"/>
              </w:rPr>
            </w:pPr>
            <w:r w:rsidRPr="00472E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Quality and suitability of management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E0" w:rsidRPr="00472EE0" w:rsidRDefault="00472EE0" w:rsidP="00472EE0">
            <w:pPr>
              <w:spacing w:after="0"/>
              <w:jc w:val="center"/>
              <w:rPr>
                <w:sz w:val="20"/>
                <w:szCs w:val="20"/>
              </w:rPr>
            </w:pPr>
            <w:r w:rsidRPr="00472EE0">
              <w:rPr>
                <w:sz w:val="20"/>
                <w:szCs w:val="20"/>
              </w:rPr>
              <w:t>5</w:t>
            </w:r>
          </w:p>
        </w:tc>
      </w:tr>
    </w:tbl>
    <w:p w:rsidR="00B1022F" w:rsidRDefault="00B1022F" w:rsidP="00B1022F">
      <w:pPr>
        <w:spacing w:after="0" w:line="120" w:lineRule="auto"/>
        <w:rPr>
          <w:b/>
        </w:rPr>
      </w:pPr>
    </w:p>
    <w:p w:rsidR="00B1022F" w:rsidRDefault="00B1022F" w:rsidP="00B1022F">
      <w:pPr>
        <w:spacing w:after="0" w:line="240" w:lineRule="auto"/>
        <w:rPr>
          <w:b/>
        </w:rPr>
      </w:pPr>
      <w:r>
        <w:rPr>
          <w:b/>
        </w:rPr>
        <w:t>Notes</w:t>
      </w:r>
    </w:p>
    <w:p w:rsidR="00CA5516" w:rsidRPr="00B1022F" w:rsidRDefault="00B1022F" w:rsidP="00B1022F">
      <w:pPr>
        <w:pStyle w:val="ListParagraph"/>
        <w:numPr>
          <w:ilvl w:val="0"/>
          <w:numId w:val="4"/>
        </w:numPr>
        <w:rPr>
          <w:b/>
        </w:rPr>
      </w:pPr>
      <w:r>
        <w:t>The new model includes an “O</w:t>
      </w:r>
      <w:r w:rsidR="007653EE">
        <w:t>utstanding</w:t>
      </w:r>
      <w:r>
        <w:t>”</w:t>
      </w:r>
      <w:r w:rsidR="007653EE">
        <w:t xml:space="preserve"> standard that </w:t>
      </w:r>
      <w:r w:rsidR="00561A62">
        <w:t xml:space="preserve">is above any </w:t>
      </w:r>
      <w:r w:rsidR="007653EE">
        <w:t>of the old</w:t>
      </w:r>
      <w:r>
        <w:t xml:space="preserve"> model</w:t>
      </w:r>
      <w:r w:rsidR="007653EE">
        <w:t xml:space="preserve"> standards.  </w:t>
      </w:r>
      <w:r w:rsidR="00D119BF">
        <w:t xml:space="preserve"> Once </w:t>
      </w:r>
      <w:r>
        <w:t>the old</w:t>
      </w:r>
      <w:r w:rsidR="00D119BF">
        <w:t xml:space="preserve"> model </w:t>
      </w:r>
      <w:r>
        <w:t>has become obsolete the scoring will be revised to award higher scores to those achieving “Outstanding”</w:t>
      </w:r>
    </w:p>
    <w:p w:rsidR="00B1022F" w:rsidRPr="00F30B86" w:rsidRDefault="00F30B86" w:rsidP="00B1022F">
      <w:pPr>
        <w:pStyle w:val="ListParagraph"/>
        <w:numPr>
          <w:ilvl w:val="0"/>
          <w:numId w:val="4"/>
        </w:numPr>
        <w:rPr>
          <w:b/>
        </w:rPr>
      </w:pPr>
      <w:r>
        <w:t xml:space="preserve">The inspection for the providers’ registered office in Brighton and Hove will be used to determine the score. If a provider does not have a registered office within Brighton and Hove, the nearest office (as noted by the CQC website) will be used. </w:t>
      </w:r>
    </w:p>
    <w:p w:rsidR="00FA6830" w:rsidRPr="00F30B86" w:rsidRDefault="00F30B86" w:rsidP="00FA6830">
      <w:pPr>
        <w:pStyle w:val="ListParagraph"/>
        <w:numPr>
          <w:ilvl w:val="0"/>
          <w:numId w:val="4"/>
        </w:numPr>
        <w:spacing w:after="0"/>
        <w:rPr>
          <w:u w:val="single"/>
        </w:rPr>
      </w:pPr>
      <w:r>
        <w:t xml:space="preserve">If a registered office has “No rating” due to an office move or change of ownership, a previous inspection </w:t>
      </w:r>
      <w:r w:rsidR="00FA1B2D">
        <w:t xml:space="preserve">undertaken within the last 12 months </w:t>
      </w:r>
      <w:r w:rsidRPr="00FA1B2D">
        <w:rPr>
          <w:i/>
        </w:rPr>
        <w:t>may</w:t>
      </w:r>
      <w:r>
        <w:t xml:space="preserve"> be used to inform the scoring, at the Council’s discretion.</w:t>
      </w:r>
    </w:p>
    <w:p w:rsidR="00F30B86" w:rsidRPr="00F30B86" w:rsidRDefault="00F30B86" w:rsidP="00FA6830">
      <w:pPr>
        <w:pStyle w:val="ListParagraph"/>
        <w:numPr>
          <w:ilvl w:val="0"/>
          <w:numId w:val="4"/>
        </w:numPr>
        <w:spacing w:after="0"/>
        <w:rPr>
          <w:u w:val="single"/>
        </w:rPr>
      </w:pPr>
      <w:r>
        <w:t>Newly established providers yet to be inspected will receive the scores noted in the “No rating” column.</w:t>
      </w:r>
    </w:p>
    <w:p w:rsidR="005F26A8" w:rsidRDefault="005F26A8" w:rsidP="005F26A8"/>
    <w:sectPr w:rsidR="005F26A8" w:rsidSect="00F30B86">
      <w:footerReference w:type="default" r:id="rId16"/>
      <w:pgSz w:w="11906" w:h="16838"/>
      <w:pgMar w:top="720" w:right="720" w:bottom="720" w:left="720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178" w:rsidRDefault="00AC4178" w:rsidP="00C44E34">
      <w:pPr>
        <w:spacing w:after="0" w:line="240" w:lineRule="auto"/>
      </w:pPr>
      <w:r>
        <w:separator/>
      </w:r>
    </w:p>
  </w:endnote>
  <w:endnote w:type="continuationSeparator" w:id="0">
    <w:p w:rsidR="00AC4178" w:rsidRDefault="00AC4178" w:rsidP="00C4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6947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0B86" w:rsidRDefault="00F30B8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D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0B86" w:rsidRDefault="00F30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178" w:rsidRDefault="00AC4178" w:rsidP="00C44E34">
      <w:pPr>
        <w:spacing w:after="0" w:line="240" w:lineRule="auto"/>
      </w:pPr>
      <w:r>
        <w:separator/>
      </w:r>
    </w:p>
  </w:footnote>
  <w:footnote w:type="continuationSeparator" w:id="0">
    <w:p w:rsidR="00AC4178" w:rsidRDefault="00AC4178" w:rsidP="00C4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Green smartie" style="width:11.25pt;height:10.5pt;visibility:visible;mso-wrap-style:square" o:bullet="t">
        <v:imagedata r:id="rId1" o:title="Green smartie"/>
      </v:shape>
    </w:pict>
  </w:numPicBullet>
  <w:numPicBullet w:numPicBulletId="1">
    <w:pict>
      <v:shape id="_x0000_i1031" type="#_x0000_t75" alt="Yellow smartie" style="width:11.25pt;height:10.5pt;visibility:visible;mso-wrap-style:square" o:bullet="t">
        <v:imagedata r:id="rId2" o:title="Yellow smartie"/>
      </v:shape>
    </w:pict>
  </w:numPicBullet>
  <w:numPicBullet w:numPicBulletId="2">
    <w:pict>
      <v:shape id="_x0000_i1032" type="#_x0000_t75" alt="Red smartie" style="width:11.25pt;height:10.5pt;visibility:visible;mso-wrap-style:square" o:bullet="t">
        <v:imagedata r:id="rId3" o:title="Red smartie"/>
      </v:shape>
    </w:pict>
  </w:numPicBullet>
  <w:numPicBullet w:numPicBulletId="3">
    <w:pict>
      <v:shape id="_x0000_i1033" type="#_x0000_t75" alt="Grey smartie" style="width:11.25pt;height:10.5pt;visibility:visible;mso-wrap-style:square" o:bullet="t">
        <v:imagedata r:id="rId4" o:title="Grey smartie"/>
      </v:shape>
    </w:pict>
  </w:numPicBullet>
  <w:abstractNum w:abstractNumId="0" w15:restartNumberingAfterBreak="0">
    <w:nsid w:val="0E1164DD"/>
    <w:multiLevelType w:val="hybridMultilevel"/>
    <w:tmpl w:val="6256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16D"/>
    <w:multiLevelType w:val="hybridMultilevel"/>
    <w:tmpl w:val="D5FA9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C15F6"/>
    <w:multiLevelType w:val="hybridMultilevel"/>
    <w:tmpl w:val="324CDA70"/>
    <w:lvl w:ilvl="0" w:tplc="08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 w15:restartNumberingAfterBreak="0">
    <w:nsid w:val="58B43AD6"/>
    <w:multiLevelType w:val="hybridMultilevel"/>
    <w:tmpl w:val="C292F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A8"/>
    <w:rsid w:val="00003FA0"/>
    <w:rsid w:val="00045FB2"/>
    <w:rsid w:val="000D0E33"/>
    <w:rsid w:val="00185984"/>
    <w:rsid w:val="00196C78"/>
    <w:rsid w:val="001E39AE"/>
    <w:rsid w:val="0020604E"/>
    <w:rsid w:val="002356E9"/>
    <w:rsid w:val="002C56BE"/>
    <w:rsid w:val="00301521"/>
    <w:rsid w:val="0035502B"/>
    <w:rsid w:val="0036195B"/>
    <w:rsid w:val="00372186"/>
    <w:rsid w:val="004053CC"/>
    <w:rsid w:val="00472EE0"/>
    <w:rsid w:val="004A3FD3"/>
    <w:rsid w:val="004D1F30"/>
    <w:rsid w:val="00561A62"/>
    <w:rsid w:val="00570512"/>
    <w:rsid w:val="0057077E"/>
    <w:rsid w:val="005F26A8"/>
    <w:rsid w:val="00615A48"/>
    <w:rsid w:val="006C078D"/>
    <w:rsid w:val="006F7AC6"/>
    <w:rsid w:val="00715240"/>
    <w:rsid w:val="00720E24"/>
    <w:rsid w:val="0074379C"/>
    <w:rsid w:val="007653EE"/>
    <w:rsid w:val="00796738"/>
    <w:rsid w:val="007A1210"/>
    <w:rsid w:val="007C2FB5"/>
    <w:rsid w:val="007D3A36"/>
    <w:rsid w:val="008600D7"/>
    <w:rsid w:val="00870225"/>
    <w:rsid w:val="008D0AA3"/>
    <w:rsid w:val="00900D17"/>
    <w:rsid w:val="0091031A"/>
    <w:rsid w:val="00972D3B"/>
    <w:rsid w:val="009C7836"/>
    <w:rsid w:val="009D069A"/>
    <w:rsid w:val="00A91D92"/>
    <w:rsid w:val="00AC4178"/>
    <w:rsid w:val="00AF4086"/>
    <w:rsid w:val="00B1022F"/>
    <w:rsid w:val="00B159F4"/>
    <w:rsid w:val="00B41FA5"/>
    <w:rsid w:val="00B7293A"/>
    <w:rsid w:val="00C44E34"/>
    <w:rsid w:val="00C6747B"/>
    <w:rsid w:val="00CA5516"/>
    <w:rsid w:val="00D059D5"/>
    <w:rsid w:val="00D119BF"/>
    <w:rsid w:val="00D223EA"/>
    <w:rsid w:val="00D22E7B"/>
    <w:rsid w:val="00D5165A"/>
    <w:rsid w:val="00DB599F"/>
    <w:rsid w:val="00DC14E0"/>
    <w:rsid w:val="00DC3B36"/>
    <w:rsid w:val="00E4594C"/>
    <w:rsid w:val="00EA76E1"/>
    <w:rsid w:val="00F12F0E"/>
    <w:rsid w:val="00F27B9E"/>
    <w:rsid w:val="00F30B86"/>
    <w:rsid w:val="00FA1B2D"/>
    <w:rsid w:val="00F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FAE8FC-6869-4CF7-8E28-2C06845F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2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E34"/>
  </w:style>
  <w:style w:type="paragraph" w:styleId="Footer">
    <w:name w:val="footer"/>
    <w:basedOn w:val="Normal"/>
    <w:link w:val="FooterChar"/>
    <w:uiPriority w:val="99"/>
    <w:unhideWhenUsed/>
    <w:rsid w:val="00C4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7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6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6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03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5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241F-A19B-4BC4-847F-0C60B3E7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Macdonald</dc:creator>
  <cp:lastModifiedBy>Naz Dida</cp:lastModifiedBy>
  <cp:revision>2</cp:revision>
  <dcterms:created xsi:type="dcterms:W3CDTF">2017-04-05T14:17:00Z</dcterms:created>
  <dcterms:modified xsi:type="dcterms:W3CDTF">2017-04-05T14:17:00Z</dcterms:modified>
</cp:coreProperties>
</file>